
<file path=[Content_Types].xml><?xml version="1.0" encoding="utf-8"?>
<Types xmlns="http://schemas.openxmlformats.org/package/2006/content-types">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5E97" w14:textId="77777777" w:rsidR="00C50C18" w:rsidRPr="00A956B7" w:rsidRDefault="00025088" w:rsidP="005E32BE">
      <w:pPr>
        <w:pStyle w:val="Encabezado"/>
        <w:tabs>
          <w:tab w:val="left" w:pos="2520"/>
        </w:tabs>
        <w:ind w:right="-142"/>
        <w:contextualSpacing/>
        <w:jc w:val="right"/>
        <w:rPr>
          <w:rFonts w:ascii="Arial" w:hAnsi="Arial" w:cs="Arial"/>
          <w:b/>
          <w:smallCaps/>
          <w:sz w:val="20"/>
          <w:szCs w:val="20"/>
        </w:rPr>
      </w:pPr>
      <w:r w:rsidRPr="00A956B7">
        <w:rPr>
          <w:rFonts w:ascii="Arial" w:hAnsi="Arial" w:cs="Arial"/>
          <w:b/>
          <w:smallCaps/>
          <w:sz w:val="20"/>
          <w:szCs w:val="20"/>
        </w:rPr>
        <w:t>Dirección de Estado Abierto, Estudios y Evaluación</w:t>
      </w:r>
      <w:r w:rsidR="00C50C18" w:rsidRPr="00A956B7">
        <w:rPr>
          <w:rFonts w:ascii="Arial" w:hAnsi="Arial" w:cs="Arial"/>
          <w:b/>
          <w:smallCaps/>
          <w:sz w:val="20"/>
          <w:szCs w:val="20"/>
        </w:rPr>
        <w:t xml:space="preserve"> </w:t>
      </w:r>
    </w:p>
    <w:p w14:paraId="208FB90C" w14:textId="77777777" w:rsidR="00C50C18" w:rsidRPr="00A956B7" w:rsidRDefault="00C50C18" w:rsidP="00C50C18">
      <w:pPr>
        <w:spacing w:after="0" w:line="240" w:lineRule="auto"/>
        <w:jc w:val="center"/>
        <w:rPr>
          <w:sz w:val="20"/>
          <w:szCs w:val="20"/>
        </w:rPr>
      </w:pPr>
    </w:p>
    <w:p w14:paraId="42A0673D" w14:textId="24A31F9B" w:rsidR="00925ABE" w:rsidRPr="00A956B7" w:rsidRDefault="00925ABE" w:rsidP="00925ABE">
      <w:pPr>
        <w:pStyle w:val="Ttulo1"/>
        <w:spacing w:before="0" w:line="240" w:lineRule="auto"/>
        <w:jc w:val="center"/>
        <w:rPr>
          <w:rFonts w:ascii="Arial" w:hAnsi="Arial" w:cs="Arial"/>
          <w:b/>
          <w:color w:val="auto"/>
          <w:sz w:val="20"/>
          <w:szCs w:val="20"/>
        </w:rPr>
      </w:pPr>
      <w:r w:rsidRPr="00A956B7">
        <w:rPr>
          <w:rFonts w:ascii="Arial" w:hAnsi="Arial" w:cs="Arial"/>
          <w:b/>
          <w:color w:val="auto"/>
          <w:sz w:val="20"/>
          <w:szCs w:val="20"/>
        </w:rPr>
        <w:t>Evaluación del cumplimiento de obligaciones de transparencia sobre la información del primer semestre del año 2019 por parte de 35 sujetos obligados de reciente incorporación al Padrón</w:t>
      </w:r>
    </w:p>
    <w:p w14:paraId="44BAD44E" w14:textId="2C0122CA" w:rsidR="00391994" w:rsidRPr="00A956B7" w:rsidRDefault="00925ABE" w:rsidP="00925ABE">
      <w:pPr>
        <w:pStyle w:val="Ttulo1"/>
        <w:spacing w:before="120" w:line="240" w:lineRule="auto"/>
        <w:jc w:val="center"/>
        <w:rPr>
          <w:rFonts w:ascii="Arial" w:hAnsi="Arial" w:cs="Arial"/>
          <w:b/>
          <w:color w:val="auto"/>
          <w:sz w:val="20"/>
          <w:szCs w:val="20"/>
        </w:rPr>
      </w:pPr>
      <w:r w:rsidRPr="00A956B7">
        <w:rPr>
          <w:rFonts w:ascii="Arial" w:hAnsi="Arial" w:cs="Arial"/>
          <w:b/>
          <w:color w:val="auto"/>
          <w:sz w:val="20"/>
          <w:szCs w:val="20"/>
        </w:rPr>
        <w:t>Resumen ejecutivo</w:t>
      </w:r>
    </w:p>
    <w:p w14:paraId="4E6F9119" w14:textId="77777777" w:rsidR="00850E5B" w:rsidRPr="00A956B7" w:rsidRDefault="00850E5B" w:rsidP="00C50C18">
      <w:pPr>
        <w:spacing w:after="0" w:line="240" w:lineRule="auto"/>
        <w:jc w:val="center"/>
        <w:rPr>
          <w:b/>
          <w:bCs/>
          <w:sz w:val="20"/>
          <w:szCs w:val="20"/>
        </w:rPr>
      </w:pPr>
    </w:p>
    <w:p w14:paraId="291E40FA" w14:textId="77777777" w:rsidR="00C50C18" w:rsidRPr="00A956B7" w:rsidRDefault="00F45632" w:rsidP="00C50C18">
      <w:pPr>
        <w:spacing w:after="0" w:line="240" w:lineRule="auto"/>
        <w:jc w:val="right"/>
        <w:rPr>
          <w:sz w:val="20"/>
          <w:szCs w:val="20"/>
        </w:rPr>
      </w:pPr>
      <w:r w:rsidRPr="00A956B7">
        <w:rPr>
          <w:sz w:val="20"/>
          <w:szCs w:val="20"/>
        </w:rPr>
        <w:t xml:space="preserve">Ciudad de México, </w:t>
      </w:r>
      <w:r w:rsidR="00391994" w:rsidRPr="00A956B7">
        <w:rPr>
          <w:sz w:val="20"/>
          <w:szCs w:val="20"/>
        </w:rPr>
        <w:t>2</w:t>
      </w:r>
      <w:r w:rsidR="004D3B5B" w:rsidRPr="00A956B7">
        <w:rPr>
          <w:sz w:val="20"/>
          <w:szCs w:val="20"/>
        </w:rPr>
        <w:t>3</w:t>
      </w:r>
      <w:r w:rsidR="00391994" w:rsidRPr="00A956B7">
        <w:rPr>
          <w:sz w:val="20"/>
          <w:szCs w:val="20"/>
        </w:rPr>
        <w:t xml:space="preserve"> de octubre</w:t>
      </w:r>
      <w:r w:rsidRPr="00A956B7">
        <w:rPr>
          <w:sz w:val="20"/>
          <w:szCs w:val="20"/>
        </w:rPr>
        <w:t xml:space="preserve"> 2019.</w:t>
      </w:r>
    </w:p>
    <w:p w14:paraId="08AF88F2" w14:textId="77777777" w:rsidR="00391994" w:rsidRPr="00A956B7" w:rsidRDefault="00391994" w:rsidP="00391994">
      <w:pPr>
        <w:autoSpaceDE w:val="0"/>
        <w:autoSpaceDN w:val="0"/>
        <w:adjustRightInd w:val="0"/>
        <w:spacing w:line="360" w:lineRule="auto"/>
        <w:contextualSpacing/>
        <w:rPr>
          <w:rFonts w:ascii="Arial" w:hAnsi="Arial" w:cs="Arial"/>
          <w:b/>
          <w:sz w:val="20"/>
          <w:szCs w:val="20"/>
        </w:rPr>
      </w:pPr>
    </w:p>
    <w:p w14:paraId="7E35D203" w14:textId="5A0A2C26" w:rsidR="00C37810" w:rsidRPr="00A956B7" w:rsidRDefault="00C37810" w:rsidP="00391994">
      <w:pPr>
        <w:autoSpaceDE w:val="0"/>
        <w:autoSpaceDN w:val="0"/>
        <w:adjustRightInd w:val="0"/>
        <w:spacing w:line="360" w:lineRule="auto"/>
        <w:contextualSpacing/>
        <w:jc w:val="both"/>
        <w:rPr>
          <w:rFonts w:ascii="Arial" w:hAnsi="Arial" w:cs="Arial"/>
          <w:sz w:val="20"/>
          <w:szCs w:val="20"/>
        </w:rPr>
      </w:pPr>
      <w:r w:rsidRPr="00A956B7">
        <w:rPr>
          <w:rFonts w:ascii="Arial" w:hAnsi="Arial" w:cs="Arial"/>
          <w:sz w:val="20"/>
          <w:szCs w:val="20"/>
        </w:rPr>
        <w:t>En la</w:t>
      </w:r>
      <w:r w:rsidR="00391994" w:rsidRPr="00A956B7">
        <w:rPr>
          <w:rFonts w:ascii="Arial" w:hAnsi="Arial" w:cs="Arial"/>
          <w:sz w:val="20"/>
          <w:szCs w:val="20"/>
        </w:rPr>
        <w:t xml:space="preserve"> segunda evaluación vinculante del año 2019</w:t>
      </w:r>
      <w:r w:rsidRPr="00A956B7">
        <w:rPr>
          <w:rFonts w:ascii="Arial" w:hAnsi="Arial" w:cs="Arial"/>
          <w:sz w:val="20"/>
          <w:szCs w:val="20"/>
        </w:rPr>
        <w:t xml:space="preserve">, </w:t>
      </w:r>
      <w:r w:rsidR="004620E2" w:rsidRPr="00A956B7">
        <w:rPr>
          <w:rFonts w:ascii="Arial" w:hAnsi="Arial" w:cs="Arial"/>
          <w:sz w:val="20"/>
          <w:szCs w:val="20"/>
        </w:rPr>
        <w:t xml:space="preserve">correspondiente al primer semestre del año en curso, </w:t>
      </w:r>
      <w:r w:rsidRPr="00A956B7">
        <w:rPr>
          <w:rFonts w:ascii="Arial" w:hAnsi="Arial" w:cs="Arial"/>
          <w:sz w:val="20"/>
          <w:szCs w:val="20"/>
        </w:rPr>
        <w:t xml:space="preserve">realizada por el </w:t>
      </w:r>
      <w:r w:rsidR="004620E2" w:rsidRPr="00A956B7">
        <w:rPr>
          <w:rFonts w:ascii="Arial" w:hAnsi="Arial" w:cs="Arial"/>
          <w:sz w:val="20"/>
          <w:szCs w:val="20"/>
        </w:rPr>
        <w:t>Instituto de Transparencia, Acceso a la Información Pública, Protección de Datos Personales y Rendición de Cuentas de la Ciudad de México (</w:t>
      </w:r>
      <w:r w:rsidRPr="00A956B7">
        <w:rPr>
          <w:rFonts w:ascii="Arial" w:hAnsi="Arial" w:cs="Arial"/>
          <w:sz w:val="20"/>
          <w:szCs w:val="20"/>
        </w:rPr>
        <w:t>INFO</w:t>
      </w:r>
      <w:r w:rsidR="004620E2" w:rsidRPr="00A956B7">
        <w:rPr>
          <w:rFonts w:ascii="Arial" w:hAnsi="Arial" w:cs="Arial"/>
          <w:sz w:val="20"/>
          <w:szCs w:val="20"/>
        </w:rPr>
        <w:t>),</w:t>
      </w:r>
      <w:r w:rsidR="00391994" w:rsidRPr="00A956B7">
        <w:rPr>
          <w:rFonts w:ascii="Arial" w:hAnsi="Arial" w:cs="Arial"/>
          <w:sz w:val="20"/>
          <w:szCs w:val="20"/>
        </w:rPr>
        <w:t xml:space="preserve"> </w:t>
      </w:r>
      <w:r w:rsidRPr="00A956B7">
        <w:rPr>
          <w:rFonts w:ascii="Arial" w:hAnsi="Arial" w:cs="Arial"/>
          <w:sz w:val="20"/>
          <w:szCs w:val="20"/>
        </w:rPr>
        <w:t xml:space="preserve">los 35 sujetos obligados que fueron incorporados al Padrón durante el primer trimestre del año en curso </w:t>
      </w:r>
      <w:r w:rsidR="0042327F" w:rsidRPr="00A956B7">
        <w:rPr>
          <w:rFonts w:ascii="Arial" w:hAnsi="Arial" w:cs="Arial"/>
          <w:sz w:val="20"/>
          <w:szCs w:val="20"/>
        </w:rPr>
        <w:t xml:space="preserve">cumplieron, </w:t>
      </w:r>
      <w:r w:rsidRPr="00A956B7">
        <w:rPr>
          <w:rFonts w:ascii="Arial" w:hAnsi="Arial" w:cs="Arial"/>
          <w:sz w:val="20"/>
          <w:szCs w:val="20"/>
        </w:rPr>
        <w:t>en promedio</w:t>
      </w:r>
      <w:r w:rsidR="0042327F" w:rsidRPr="00A956B7">
        <w:rPr>
          <w:rFonts w:ascii="Arial" w:hAnsi="Arial" w:cs="Arial"/>
          <w:sz w:val="20"/>
          <w:szCs w:val="20"/>
        </w:rPr>
        <w:t>,</w:t>
      </w:r>
      <w:r w:rsidRPr="00A956B7">
        <w:rPr>
          <w:rFonts w:ascii="Arial" w:hAnsi="Arial" w:cs="Arial"/>
          <w:sz w:val="20"/>
          <w:szCs w:val="20"/>
        </w:rPr>
        <w:t xml:space="preserve"> </w:t>
      </w:r>
      <w:r w:rsidR="0042327F" w:rsidRPr="00A956B7">
        <w:rPr>
          <w:rFonts w:ascii="Arial" w:hAnsi="Arial" w:cs="Arial"/>
          <w:sz w:val="20"/>
          <w:szCs w:val="20"/>
        </w:rPr>
        <w:t xml:space="preserve">con </w:t>
      </w:r>
      <w:r w:rsidRPr="00A956B7">
        <w:rPr>
          <w:rFonts w:ascii="Arial" w:hAnsi="Arial" w:cs="Arial"/>
          <w:sz w:val="20"/>
          <w:szCs w:val="20"/>
        </w:rPr>
        <w:t>85.38% de sus obligaciones de transparencia que tiene que publicar por ley en sus portales institucionales y la Plataforma Nacional</w:t>
      </w:r>
      <w:r w:rsidR="00A31BD5" w:rsidRPr="00A956B7">
        <w:rPr>
          <w:rFonts w:ascii="Arial" w:hAnsi="Arial" w:cs="Arial"/>
          <w:sz w:val="20"/>
          <w:szCs w:val="20"/>
        </w:rPr>
        <w:t xml:space="preserve"> de Transparencia.</w:t>
      </w:r>
      <w:r w:rsidRPr="00A956B7">
        <w:rPr>
          <w:rFonts w:ascii="Arial" w:hAnsi="Arial" w:cs="Arial"/>
          <w:sz w:val="20"/>
          <w:szCs w:val="20"/>
        </w:rPr>
        <w:t xml:space="preserve"> </w:t>
      </w:r>
    </w:p>
    <w:p w14:paraId="71C6C0A9" w14:textId="77777777" w:rsidR="00C37810" w:rsidRPr="00A956B7" w:rsidRDefault="00C37810" w:rsidP="00391994">
      <w:pPr>
        <w:autoSpaceDE w:val="0"/>
        <w:autoSpaceDN w:val="0"/>
        <w:adjustRightInd w:val="0"/>
        <w:spacing w:line="360" w:lineRule="auto"/>
        <w:contextualSpacing/>
        <w:jc w:val="both"/>
        <w:rPr>
          <w:rFonts w:ascii="Arial" w:hAnsi="Arial" w:cs="Arial"/>
          <w:sz w:val="20"/>
          <w:szCs w:val="20"/>
        </w:rPr>
      </w:pPr>
    </w:p>
    <w:p w14:paraId="70DA1218" w14:textId="77777777" w:rsidR="00E80692" w:rsidRPr="00A956B7" w:rsidRDefault="001738A6" w:rsidP="00391994">
      <w:pPr>
        <w:autoSpaceDE w:val="0"/>
        <w:autoSpaceDN w:val="0"/>
        <w:adjustRightInd w:val="0"/>
        <w:spacing w:line="360" w:lineRule="auto"/>
        <w:contextualSpacing/>
        <w:jc w:val="both"/>
        <w:rPr>
          <w:rFonts w:ascii="Arial" w:hAnsi="Arial" w:cs="Arial"/>
          <w:sz w:val="20"/>
          <w:szCs w:val="20"/>
        </w:rPr>
      </w:pPr>
      <w:r w:rsidRPr="00A956B7">
        <w:rPr>
          <w:rFonts w:ascii="Arial" w:hAnsi="Arial" w:cs="Arial"/>
          <w:sz w:val="20"/>
          <w:szCs w:val="20"/>
        </w:rPr>
        <w:t>Los</w:t>
      </w:r>
      <w:r w:rsidR="00391994" w:rsidRPr="00A956B7">
        <w:rPr>
          <w:rFonts w:ascii="Arial" w:hAnsi="Arial" w:cs="Arial"/>
          <w:sz w:val="20"/>
          <w:szCs w:val="20"/>
        </w:rPr>
        <w:t xml:space="preserve"> 35 sujetos obligados evaluados</w:t>
      </w:r>
      <w:r w:rsidRPr="00A956B7">
        <w:rPr>
          <w:rFonts w:ascii="Arial" w:hAnsi="Arial" w:cs="Arial"/>
          <w:sz w:val="20"/>
          <w:szCs w:val="20"/>
        </w:rPr>
        <w:t xml:space="preserve"> se integran por</w:t>
      </w:r>
      <w:r w:rsidR="00F02E28" w:rsidRPr="00A956B7">
        <w:rPr>
          <w:rFonts w:ascii="Arial" w:hAnsi="Arial" w:cs="Arial"/>
          <w:sz w:val="20"/>
          <w:szCs w:val="20"/>
        </w:rPr>
        <w:t xml:space="preserve">: </w:t>
      </w:r>
      <w:r w:rsidR="00391994" w:rsidRPr="00A956B7">
        <w:rPr>
          <w:rFonts w:ascii="Arial" w:hAnsi="Arial" w:cs="Arial"/>
          <w:sz w:val="20"/>
          <w:szCs w:val="20"/>
        </w:rPr>
        <w:t>8</w:t>
      </w:r>
      <w:r w:rsidR="00750DF4" w:rsidRPr="00A956B7">
        <w:rPr>
          <w:rStyle w:val="Refdenotaalpie"/>
          <w:rFonts w:ascii="Arial" w:hAnsi="Arial" w:cs="Arial"/>
          <w:sz w:val="20"/>
          <w:szCs w:val="20"/>
        </w:rPr>
        <w:footnoteReference w:id="1"/>
      </w:r>
      <w:r w:rsidR="00391994" w:rsidRPr="00A956B7">
        <w:rPr>
          <w:rFonts w:ascii="Arial" w:hAnsi="Arial" w:cs="Arial"/>
          <w:sz w:val="20"/>
          <w:szCs w:val="20"/>
        </w:rPr>
        <w:t xml:space="preserve"> sujetos pertenecientes a la Administración Central</w:t>
      </w:r>
      <w:r w:rsidR="00F02E28" w:rsidRPr="00A956B7">
        <w:rPr>
          <w:rFonts w:ascii="Arial" w:hAnsi="Arial" w:cs="Arial"/>
          <w:sz w:val="20"/>
          <w:szCs w:val="20"/>
        </w:rPr>
        <w:t>, 8</w:t>
      </w:r>
      <w:r w:rsidR="00750DF4" w:rsidRPr="00A956B7">
        <w:rPr>
          <w:rStyle w:val="Refdenotaalpie"/>
          <w:rFonts w:ascii="Arial" w:hAnsi="Arial" w:cs="Arial"/>
          <w:sz w:val="20"/>
          <w:szCs w:val="20"/>
        </w:rPr>
        <w:footnoteReference w:id="2"/>
      </w:r>
      <w:r w:rsidR="00391994" w:rsidRPr="00A956B7">
        <w:rPr>
          <w:rFonts w:ascii="Arial" w:hAnsi="Arial" w:cs="Arial"/>
          <w:sz w:val="20"/>
          <w:szCs w:val="20"/>
        </w:rPr>
        <w:t xml:space="preserve"> al ámbito de Órganos Desconcentrados, Fondos y Fideicomisos, 16</w:t>
      </w:r>
      <w:r w:rsidR="00750DF4" w:rsidRPr="00A956B7">
        <w:rPr>
          <w:rStyle w:val="Refdenotaalpie"/>
          <w:rFonts w:ascii="Arial" w:hAnsi="Arial" w:cs="Arial"/>
          <w:sz w:val="20"/>
          <w:szCs w:val="20"/>
        </w:rPr>
        <w:footnoteReference w:id="3"/>
      </w:r>
      <w:r w:rsidR="00391994" w:rsidRPr="00A956B7">
        <w:rPr>
          <w:rFonts w:ascii="Arial" w:hAnsi="Arial" w:cs="Arial"/>
          <w:sz w:val="20"/>
          <w:szCs w:val="20"/>
        </w:rPr>
        <w:t xml:space="preserve"> </w:t>
      </w:r>
      <w:r w:rsidR="00E80692" w:rsidRPr="00A956B7">
        <w:rPr>
          <w:rFonts w:ascii="Arial" w:hAnsi="Arial" w:cs="Arial"/>
          <w:sz w:val="20"/>
          <w:szCs w:val="20"/>
        </w:rPr>
        <w:t xml:space="preserve">a las </w:t>
      </w:r>
      <w:r w:rsidR="00391994" w:rsidRPr="00A956B7">
        <w:rPr>
          <w:rFonts w:ascii="Arial" w:hAnsi="Arial" w:cs="Arial"/>
          <w:sz w:val="20"/>
          <w:szCs w:val="20"/>
        </w:rPr>
        <w:t>Alcaldías</w:t>
      </w:r>
      <w:r w:rsidR="00F02E28" w:rsidRPr="00A956B7">
        <w:rPr>
          <w:rFonts w:ascii="Arial" w:hAnsi="Arial" w:cs="Arial"/>
          <w:sz w:val="20"/>
          <w:szCs w:val="20"/>
        </w:rPr>
        <w:t xml:space="preserve">, </w:t>
      </w:r>
      <w:r w:rsidR="00391994" w:rsidRPr="00A956B7">
        <w:rPr>
          <w:rFonts w:ascii="Arial" w:hAnsi="Arial" w:cs="Arial"/>
          <w:sz w:val="20"/>
          <w:szCs w:val="20"/>
        </w:rPr>
        <w:t>1</w:t>
      </w:r>
      <w:r w:rsidR="00750DF4" w:rsidRPr="00A956B7">
        <w:rPr>
          <w:rStyle w:val="Refdenotaalpie"/>
          <w:rFonts w:ascii="Arial" w:hAnsi="Arial" w:cs="Arial"/>
          <w:sz w:val="20"/>
          <w:szCs w:val="20"/>
        </w:rPr>
        <w:footnoteReference w:id="4"/>
      </w:r>
      <w:r w:rsidR="00391994" w:rsidRPr="00A956B7">
        <w:rPr>
          <w:rFonts w:ascii="Arial" w:hAnsi="Arial" w:cs="Arial"/>
          <w:sz w:val="20"/>
          <w:szCs w:val="20"/>
        </w:rPr>
        <w:t xml:space="preserve"> sujeto obligado del Poder Legislativo, </w:t>
      </w:r>
      <w:r w:rsidR="00F02E28" w:rsidRPr="00A956B7">
        <w:rPr>
          <w:rFonts w:ascii="Arial" w:hAnsi="Arial" w:cs="Arial"/>
          <w:sz w:val="20"/>
          <w:szCs w:val="20"/>
        </w:rPr>
        <w:t>1</w:t>
      </w:r>
      <w:r w:rsidR="00750DF4" w:rsidRPr="00A956B7">
        <w:rPr>
          <w:rStyle w:val="Refdenotaalpie"/>
          <w:rFonts w:ascii="Arial" w:hAnsi="Arial" w:cs="Arial"/>
          <w:sz w:val="20"/>
          <w:szCs w:val="20"/>
        </w:rPr>
        <w:footnoteReference w:id="5"/>
      </w:r>
      <w:r w:rsidR="00F02E28" w:rsidRPr="00A956B7">
        <w:rPr>
          <w:rFonts w:ascii="Arial" w:hAnsi="Arial" w:cs="Arial"/>
          <w:sz w:val="20"/>
          <w:szCs w:val="20"/>
        </w:rPr>
        <w:t xml:space="preserve"> de los </w:t>
      </w:r>
      <w:r w:rsidR="00391994" w:rsidRPr="00A956B7">
        <w:rPr>
          <w:rFonts w:ascii="Arial" w:hAnsi="Arial" w:cs="Arial"/>
          <w:sz w:val="20"/>
          <w:szCs w:val="20"/>
        </w:rPr>
        <w:t xml:space="preserve">Órganos Autónomos y </w:t>
      </w:r>
      <w:r w:rsidR="00F02E28" w:rsidRPr="00A956B7">
        <w:rPr>
          <w:rFonts w:ascii="Arial" w:hAnsi="Arial" w:cs="Arial"/>
          <w:sz w:val="20"/>
          <w:szCs w:val="20"/>
        </w:rPr>
        <w:t>1</w:t>
      </w:r>
      <w:r w:rsidR="00750DF4" w:rsidRPr="00A956B7">
        <w:rPr>
          <w:rStyle w:val="Refdenotaalpie"/>
          <w:rFonts w:ascii="Arial" w:hAnsi="Arial" w:cs="Arial"/>
          <w:sz w:val="20"/>
          <w:szCs w:val="20"/>
        </w:rPr>
        <w:footnoteReference w:id="6"/>
      </w:r>
      <w:r w:rsidR="00F02E28" w:rsidRPr="00A956B7">
        <w:rPr>
          <w:rFonts w:ascii="Arial" w:hAnsi="Arial" w:cs="Arial"/>
          <w:sz w:val="20"/>
          <w:szCs w:val="20"/>
        </w:rPr>
        <w:t xml:space="preserve"> de </w:t>
      </w:r>
      <w:r w:rsidR="00391994" w:rsidRPr="00A956B7">
        <w:rPr>
          <w:rFonts w:ascii="Arial" w:hAnsi="Arial" w:cs="Arial"/>
          <w:sz w:val="20"/>
          <w:szCs w:val="20"/>
        </w:rPr>
        <w:t xml:space="preserve">Sindicatos. </w:t>
      </w:r>
    </w:p>
    <w:p w14:paraId="78F528EA" w14:textId="77777777" w:rsidR="0098236C" w:rsidRPr="00A956B7" w:rsidRDefault="0098236C" w:rsidP="00391994">
      <w:pPr>
        <w:autoSpaceDE w:val="0"/>
        <w:autoSpaceDN w:val="0"/>
        <w:adjustRightInd w:val="0"/>
        <w:spacing w:line="360" w:lineRule="auto"/>
        <w:contextualSpacing/>
        <w:jc w:val="both"/>
        <w:rPr>
          <w:rFonts w:ascii="Arial" w:hAnsi="Arial" w:cs="Arial"/>
          <w:sz w:val="20"/>
          <w:szCs w:val="20"/>
        </w:rPr>
      </w:pPr>
    </w:p>
    <w:p w14:paraId="702F7F22" w14:textId="77777777" w:rsidR="001738A6" w:rsidRPr="00A956B7" w:rsidRDefault="0098236C" w:rsidP="00391994">
      <w:pPr>
        <w:autoSpaceDE w:val="0"/>
        <w:autoSpaceDN w:val="0"/>
        <w:adjustRightInd w:val="0"/>
        <w:spacing w:line="360" w:lineRule="auto"/>
        <w:contextualSpacing/>
        <w:jc w:val="both"/>
        <w:rPr>
          <w:rFonts w:ascii="Arial" w:hAnsi="Arial" w:cs="Arial"/>
          <w:sz w:val="20"/>
          <w:szCs w:val="20"/>
        </w:rPr>
      </w:pPr>
      <w:r w:rsidRPr="00A956B7">
        <w:rPr>
          <w:rFonts w:ascii="Arial" w:hAnsi="Arial" w:cs="Arial"/>
          <w:sz w:val="20"/>
          <w:szCs w:val="20"/>
        </w:rPr>
        <w:t xml:space="preserve">La metodología de la Evaluación se compone por el </w:t>
      </w:r>
      <w:r w:rsidRPr="00A956B7">
        <w:rPr>
          <w:rFonts w:ascii="Arial" w:hAnsi="Arial" w:cs="Arial"/>
          <w:b/>
          <w:sz w:val="20"/>
          <w:szCs w:val="20"/>
        </w:rPr>
        <w:t>Índice General de Cumplimiento de Obligaciones de Transparencia (IGOT)</w:t>
      </w:r>
      <w:r w:rsidRPr="00A956B7">
        <w:rPr>
          <w:rFonts w:ascii="Arial" w:hAnsi="Arial" w:cs="Arial"/>
          <w:sz w:val="20"/>
          <w:szCs w:val="20"/>
        </w:rPr>
        <w:t xml:space="preserve">, el cual contiene el resultado numérico de la evaluación correspondiente. Dicho índice se construye al sumar el </w:t>
      </w:r>
      <w:r w:rsidRPr="00A956B7">
        <w:rPr>
          <w:rFonts w:ascii="Arial" w:hAnsi="Arial" w:cs="Arial"/>
          <w:b/>
          <w:sz w:val="20"/>
          <w:szCs w:val="20"/>
        </w:rPr>
        <w:t>Índice de Cumplimiento de Obligaciones de Transparencia del Portal de Internet (ICOT-PT) y el de la Plataforma Nacional de Transparencia (ICOT-PNT)</w:t>
      </w:r>
      <w:r w:rsidRPr="00A956B7">
        <w:rPr>
          <w:rFonts w:ascii="Arial" w:hAnsi="Arial" w:cs="Arial"/>
          <w:sz w:val="20"/>
          <w:szCs w:val="20"/>
        </w:rPr>
        <w:t xml:space="preserve">. En específico, tanto el ICOT-PT como el ICOT-PNT se integran con los resultados de la evaluación del cumplimiento de las </w:t>
      </w:r>
      <w:r w:rsidRPr="00A956B7">
        <w:rPr>
          <w:rFonts w:ascii="Arial" w:hAnsi="Arial" w:cs="Arial"/>
          <w:b/>
          <w:sz w:val="20"/>
          <w:szCs w:val="20"/>
        </w:rPr>
        <w:t>obligaciones comunes</w:t>
      </w:r>
      <w:r w:rsidRPr="00A956B7">
        <w:rPr>
          <w:rFonts w:ascii="Arial" w:hAnsi="Arial" w:cs="Arial"/>
          <w:sz w:val="20"/>
          <w:szCs w:val="20"/>
        </w:rPr>
        <w:t xml:space="preserve"> referidas en los artículos 121 y 122; las </w:t>
      </w:r>
      <w:r w:rsidRPr="00A956B7">
        <w:rPr>
          <w:rFonts w:ascii="Arial" w:hAnsi="Arial" w:cs="Arial"/>
          <w:b/>
          <w:sz w:val="20"/>
          <w:szCs w:val="20"/>
        </w:rPr>
        <w:t>obligaciones específicas</w:t>
      </w:r>
      <w:r w:rsidRPr="00A956B7">
        <w:rPr>
          <w:rFonts w:ascii="Arial" w:hAnsi="Arial" w:cs="Arial"/>
          <w:sz w:val="20"/>
          <w:szCs w:val="20"/>
        </w:rPr>
        <w:t xml:space="preserve"> consistentes en los artículos 123 al 140, y las </w:t>
      </w:r>
      <w:r w:rsidRPr="00A956B7">
        <w:rPr>
          <w:rFonts w:ascii="Arial" w:hAnsi="Arial" w:cs="Arial"/>
          <w:b/>
          <w:sz w:val="20"/>
          <w:szCs w:val="20"/>
        </w:rPr>
        <w:t>disposiciones particulares</w:t>
      </w:r>
      <w:r w:rsidRPr="00A956B7">
        <w:rPr>
          <w:rFonts w:ascii="Arial" w:hAnsi="Arial" w:cs="Arial"/>
          <w:sz w:val="20"/>
          <w:szCs w:val="20"/>
        </w:rPr>
        <w:t xml:space="preserve"> contempladas en los artículos 143 al 147, todos de la Ley de Transparencia local.</w:t>
      </w:r>
    </w:p>
    <w:p w14:paraId="692D2B5E" w14:textId="77777777" w:rsidR="0098236C" w:rsidRPr="00A956B7" w:rsidRDefault="0098236C" w:rsidP="00391994">
      <w:pPr>
        <w:autoSpaceDE w:val="0"/>
        <w:autoSpaceDN w:val="0"/>
        <w:adjustRightInd w:val="0"/>
        <w:spacing w:line="360" w:lineRule="auto"/>
        <w:contextualSpacing/>
        <w:jc w:val="both"/>
        <w:rPr>
          <w:rFonts w:ascii="Arial" w:hAnsi="Arial" w:cs="Arial"/>
          <w:sz w:val="21"/>
          <w:szCs w:val="21"/>
        </w:rPr>
      </w:pPr>
    </w:p>
    <w:p w14:paraId="04E5A445" w14:textId="34A0FA07" w:rsidR="001738A6" w:rsidRPr="00A956B7" w:rsidRDefault="00E80692" w:rsidP="00391994">
      <w:pPr>
        <w:autoSpaceDE w:val="0"/>
        <w:autoSpaceDN w:val="0"/>
        <w:adjustRightInd w:val="0"/>
        <w:spacing w:line="360" w:lineRule="auto"/>
        <w:contextualSpacing/>
        <w:jc w:val="both"/>
        <w:rPr>
          <w:rFonts w:ascii="Arial" w:hAnsi="Arial" w:cs="Arial"/>
          <w:sz w:val="20"/>
          <w:szCs w:val="20"/>
        </w:rPr>
      </w:pPr>
      <w:r w:rsidRPr="00A956B7">
        <w:rPr>
          <w:rFonts w:ascii="Arial" w:hAnsi="Arial" w:cs="Arial"/>
          <w:sz w:val="20"/>
          <w:szCs w:val="20"/>
        </w:rPr>
        <w:lastRenderedPageBreak/>
        <w:t>En est</w:t>
      </w:r>
      <w:r w:rsidR="00A22CE1" w:rsidRPr="00A956B7">
        <w:rPr>
          <w:rFonts w:ascii="Arial" w:hAnsi="Arial" w:cs="Arial"/>
          <w:sz w:val="20"/>
          <w:szCs w:val="20"/>
        </w:rPr>
        <w:t>a</w:t>
      </w:r>
      <w:r w:rsidRPr="00A956B7">
        <w:rPr>
          <w:rFonts w:ascii="Arial" w:hAnsi="Arial" w:cs="Arial"/>
          <w:sz w:val="20"/>
          <w:szCs w:val="20"/>
        </w:rPr>
        <w:t xml:space="preserve"> evaluación se</w:t>
      </w:r>
      <w:r w:rsidR="00F02E28" w:rsidRPr="00A956B7">
        <w:rPr>
          <w:rFonts w:ascii="Arial" w:hAnsi="Arial" w:cs="Arial"/>
          <w:sz w:val="20"/>
          <w:szCs w:val="20"/>
        </w:rPr>
        <w:t xml:space="preserve"> observó que 7 sujetos cumplieron con </w:t>
      </w:r>
      <w:r w:rsidR="00C37810" w:rsidRPr="00A956B7">
        <w:rPr>
          <w:rFonts w:ascii="Arial" w:hAnsi="Arial" w:cs="Arial"/>
          <w:sz w:val="20"/>
          <w:szCs w:val="20"/>
        </w:rPr>
        <w:t xml:space="preserve">el 100% de </w:t>
      </w:r>
      <w:r w:rsidR="0042327F" w:rsidRPr="00A956B7">
        <w:rPr>
          <w:rFonts w:ascii="Arial" w:hAnsi="Arial" w:cs="Arial"/>
          <w:sz w:val="20"/>
          <w:szCs w:val="20"/>
        </w:rPr>
        <w:t xml:space="preserve">las </w:t>
      </w:r>
      <w:r w:rsidR="00F02E28" w:rsidRPr="00A956B7">
        <w:rPr>
          <w:rFonts w:ascii="Arial" w:hAnsi="Arial" w:cs="Arial"/>
          <w:sz w:val="20"/>
          <w:szCs w:val="20"/>
        </w:rPr>
        <w:t xml:space="preserve">obligaciones </w:t>
      </w:r>
      <w:r w:rsidRPr="00A956B7">
        <w:rPr>
          <w:rFonts w:ascii="Arial" w:hAnsi="Arial" w:cs="Arial"/>
          <w:sz w:val="20"/>
          <w:szCs w:val="20"/>
        </w:rPr>
        <w:t>señaladas</w:t>
      </w:r>
      <w:r w:rsidR="00C37810" w:rsidRPr="00A956B7">
        <w:rPr>
          <w:rFonts w:ascii="Arial" w:hAnsi="Arial" w:cs="Arial"/>
          <w:sz w:val="20"/>
          <w:szCs w:val="20"/>
        </w:rPr>
        <w:t xml:space="preserve"> las </w:t>
      </w:r>
      <w:r w:rsidR="0042327F" w:rsidRPr="00A956B7">
        <w:rPr>
          <w:rFonts w:ascii="Arial" w:hAnsi="Arial" w:cs="Arial"/>
          <w:sz w:val="20"/>
          <w:szCs w:val="20"/>
        </w:rPr>
        <w:t xml:space="preserve">por las disposiciones </w:t>
      </w:r>
      <w:r w:rsidR="00C37810" w:rsidRPr="00A956B7">
        <w:rPr>
          <w:rFonts w:ascii="Arial" w:hAnsi="Arial" w:cs="Arial"/>
          <w:sz w:val="20"/>
          <w:szCs w:val="20"/>
        </w:rPr>
        <w:t xml:space="preserve">comunes, específicas y particulares de </w:t>
      </w:r>
      <w:r w:rsidR="00F02E28" w:rsidRPr="00A956B7">
        <w:rPr>
          <w:rFonts w:ascii="Arial" w:hAnsi="Arial" w:cs="Arial"/>
          <w:sz w:val="20"/>
          <w:szCs w:val="20"/>
        </w:rPr>
        <w:t>la Ley de Transparencia Local</w:t>
      </w:r>
      <w:r w:rsidR="0042327F" w:rsidRPr="00A956B7">
        <w:rPr>
          <w:rFonts w:ascii="Arial" w:hAnsi="Arial" w:cs="Arial"/>
          <w:sz w:val="20"/>
          <w:szCs w:val="20"/>
        </w:rPr>
        <w:t xml:space="preserve"> (artículos 121 a 147)</w:t>
      </w:r>
      <w:r w:rsidR="00C37810" w:rsidRPr="00A956B7">
        <w:rPr>
          <w:rFonts w:ascii="Arial" w:hAnsi="Arial" w:cs="Arial"/>
          <w:sz w:val="20"/>
          <w:szCs w:val="20"/>
        </w:rPr>
        <w:t>:</w:t>
      </w:r>
    </w:p>
    <w:p w14:paraId="78DBACDA" w14:textId="77777777" w:rsidR="001738A6" w:rsidRPr="00A956B7" w:rsidRDefault="001738A6" w:rsidP="001738A6">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Secretaría de Administración y Finanzas,</w:t>
      </w:r>
    </w:p>
    <w:p w14:paraId="1E831378" w14:textId="77777777" w:rsidR="001738A6" w:rsidRPr="00A956B7" w:rsidRDefault="001738A6" w:rsidP="001738A6">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Secretaría de la Contraloría General,</w:t>
      </w:r>
    </w:p>
    <w:p w14:paraId="258EA834" w14:textId="77777777" w:rsidR="00C37810" w:rsidRPr="00A956B7" w:rsidRDefault="001738A6" w:rsidP="001738A6">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Secretaría de Seguridad Ciudadana</w:t>
      </w:r>
    </w:p>
    <w:p w14:paraId="6CD7A2E9" w14:textId="77777777" w:rsidR="001738A6" w:rsidRPr="00A956B7" w:rsidRDefault="00C37810" w:rsidP="00C37810">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Secretaría de Inclusión y Bienestar Social</w:t>
      </w:r>
      <w:r w:rsidR="001738A6" w:rsidRPr="00A956B7">
        <w:rPr>
          <w:rFonts w:ascii="Arial" w:hAnsi="Arial" w:cs="Arial"/>
          <w:sz w:val="20"/>
          <w:szCs w:val="20"/>
        </w:rPr>
        <w:t>,</w:t>
      </w:r>
    </w:p>
    <w:p w14:paraId="2791C48D" w14:textId="77777777" w:rsidR="001738A6" w:rsidRPr="00A956B7" w:rsidRDefault="001738A6" w:rsidP="001738A6">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Agencia Digital de Innovación Pública de la Ciudad de México,</w:t>
      </w:r>
    </w:p>
    <w:p w14:paraId="1E2E0B19" w14:textId="77777777" w:rsidR="001738A6" w:rsidRPr="00A956B7" w:rsidRDefault="001738A6" w:rsidP="001738A6">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Alcaldía La Magdalena Contreras</w:t>
      </w:r>
      <w:r w:rsidR="00C37810" w:rsidRPr="00A956B7">
        <w:rPr>
          <w:rFonts w:ascii="Arial" w:hAnsi="Arial" w:cs="Arial"/>
          <w:sz w:val="20"/>
          <w:szCs w:val="20"/>
        </w:rPr>
        <w:t xml:space="preserve">, y </w:t>
      </w:r>
    </w:p>
    <w:p w14:paraId="676C888F" w14:textId="77777777" w:rsidR="00E80692" w:rsidRPr="00A956B7" w:rsidRDefault="001738A6" w:rsidP="009A56D5">
      <w:pPr>
        <w:pStyle w:val="Prrafodelista"/>
        <w:numPr>
          <w:ilvl w:val="0"/>
          <w:numId w:val="28"/>
        </w:numPr>
        <w:autoSpaceDE w:val="0"/>
        <w:autoSpaceDN w:val="0"/>
        <w:adjustRightInd w:val="0"/>
        <w:spacing w:line="360" w:lineRule="auto"/>
        <w:jc w:val="both"/>
        <w:rPr>
          <w:rFonts w:ascii="Arial" w:hAnsi="Arial" w:cs="Arial"/>
          <w:sz w:val="20"/>
          <w:szCs w:val="20"/>
        </w:rPr>
      </w:pPr>
      <w:r w:rsidRPr="00A956B7">
        <w:rPr>
          <w:rFonts w:ascii="Arial" w:hAnsi="Arial" w:cs="Arial"/>
          <w:sz w:val="20"/>
          <w:szCs w:val="20"/>
        </w:rPr>
        <w:t>Alcaldía Miguel Hidalgo</w:t>
      </w:r>
      <w:r w:rsidR="00C37810" w:rsidRPr="00A956B7">
        <w:rPr>
          <w:rFonts w:ascii="Arial" w:hAnsi="Arial" w:cs="Arial"/>
          <w:sz w:val="20"/>
          <w:szCs w:val="20"/>
        </w:rPr>
        <w:t>.</w:t>
      </w:r>
    </w:p>
    <w:p w14:paraId="49BFC4EB" w14:textId="77777777" w:rsidR="009A56D5" w:rsidRPr="00A956B7" w:rsidRDefault="009A56D5" w:rsidP="009A56D5">
      <w:pPr>
        <w:autoSpaceDE w:val="0"/>
        <w:autoSpaceDN w:val="0"/>
        <w:adjustRightInd w:val="0"/>
        <w:spacing w:line="360" w:lineRule="auto"/>
        <w:contextualSpacing/>
        <w:jc w:val="both"/>
        <w:rPr>
          <w:rFonts w:ascii="Arial" w:hAnsi="Arial" w:cs="Arial"/>
          <w:sz w:val="20"/>
          <w:szCs w:val="20"/>
        </w:rPr>
      </w:pPr>
      <w:r w:rsidRPr="00A956B7">
        <w:rPr>
          <w:rFonts w:ascii="Arial" w:hAnsi="Arial" w:cs="Arial"/>
          <w:sz w:val="20"/>
          <w:szCs w:val="20"/>
        </w:rPr>
        <w:t xml:space="preserve">Los 25 sujetos obligados que cumplieron parcialmente </w:t>
      </w:r>
      <w:r w:rsidR="00750DF4" w:rsidRPr="00A956B7">
        <w:rPr>
          <w:rFonts w:ascii="Arial" w:hAnsi="Arial" w:cs="Arial"/>
          <w:sz w:val="20"/>
          <w:szCs w:val="20"/>
        </w:rPr>
        <w:t>(IGOT mayor a 60%)</w:t>
      </w:r>
      <w:r w:rsidRPr="00A956B7">
        <w:rPr>
          <w:rFonts w:ascii="Arial" w:hAnsi="Arial" w:cs="Arial"/>
          <w:sz w:val="20"/>
          <w:szCs w:val="20"/>
        </w:rPr>
        <w:t xml:space="preserve"> se integran de la siguiente forma: </w:t>
      </w:r>
      <w:r w:rsidR="00391994" w:rsidRPr="00A956B7">
        <w:rPr>
          <w:rFonts w:ascii="Arial" w:hAnsi="Arial" w:cs="Arial"/>
          <w:sz w:val="20"/>
          <w:szCs w:val="20"/>
        </w:rPr>
        <w:t xml:space="preserve">4 de la Administración Pública Centralizada, 4 </w:t>
      </w:r>
      <w:r w:rsidRPr="00A956B7">
        <w:rPr>
          <w:rFonts w:ascii="Arial" w:hAnsi="Arial" w:cs="Arial"/>
          <w:sz w:val="20"/>
          <w:szCs w:val="20"/>
        </w:rPr>
        <w:t>del</w:t>
      </w:r>
      <w:r w:rsidR="00391994" w:rsidRPr="00A956B7">
        <w:rPr>
          <w:rFonts w:ascii="Arial" w:hAnsi="Arial" w:cs="Arial"/>
          <w:sz w:val="20"/>
          <w:szCs w:val="20"/>
        </w:rPr>
        <w:t xml:space="preserve"> ámbito de Organismos Desconcentrados, Descentralizados, Paraestatales y Auxiliares, 14 Alcaldías, 1 sujeto obligado perteneciente al Poder Legislativo, 1 Órgano Autónomo, y 1 Sindicato. </w:t>
      </w:r>
    </w:p>
    <w:p w14:paraId="5CF24595" w14:textId="77777777" w:rsidR="00E80692" w:rsidRPr="00A956B7" w:rsidRDefault="00E80692" w:rsidP="009A56D5">
      <w:pPr>
        <w:autoSpaceDE w:val="0"/>
        <w:autoSpaceDN w:val="0"/>
        <w:adjustRightInd w:val="0"/>
        <w:spacing w:line="360" w:lineRule="auto"/>
        <w:contextualSpacing/>
        <w:jc w:val="both"/>
        <w:rPr>
          <w:rFonts w:ascii="Arial" w:hAnsi="Arial" w:cs="Arial"/>
          <w:sz w:val="20"/>
          <w:szCs w:val="20"/>
        </w:rPr>
      </w:pPr>
    </w:p>
    <w:p w14:paraId="556459A4" w14:textId="5AE9F003" w:rsidR="00391994" w:rsidRPr="00A956B7" w:rsidRDefault="0042327F" w:rsidP="009A56D5">
      <w:pPr>
        <w:autoSpaceDE w:val="0"/>
        <w:autoSpaceDN w:val="0"/>
        <w:adjustRightInd w:val="0"/>
        <w:spacing w:line="360" w:lineRule="auto"/>
        <w:contextualSpacing/>
        <w:jc w:val="both"/>
        <w:rPr>
          <w:rFonts w:ascii="Arial" w:hAnsi="Arial" w:cs="Arial"/>
          <w:sz w:val="20"/>
          <w:szCs w:val="20"/>
        </w:rPr>
      </w:pPr>
      <w:r w:rsidRPr="00A956B7">
        <w:rPr>
          <w:rFonts w:ascii="Arial" w:hAnsi="Arial" w:cs="Arial"/>
          <w:sz w:val="20"/>
          <w:szCs w:val="20"/>
        </w:rPr>
        <w:t xml:space="preserve">Tres </w:t>
      </w:r>
      <w:r w:rsidR="00391994" w:rsidRPr="00A956B7">
        <w:rPr>
          <w:rFonts w:ascii="Arial" w:hAnsi="Arial" w:cs="Arial"/>
          <w:sz w:val="20"/>
          <w:szCs w:val="20"/>
        </w:rPr>
        <w:t xml:space="preserve">sujetos obligados </w:t>
      </w:r>
      <w:r w:rsidR="009A56D5" w:rsidRPr="00A956B7">
        <w:rPr>
          <w:rFonts w:ascii="Arial" w:hAnsi="Arial" w:cs="Arial"/>
          <w:sz w:val="20"/>
          <w:szCs w:val="20"/>
        </w:rPr>
        <w:t xml:space="preserve">incumplieron </w:t>
      </w:r>
      <w:r w:rsidR="00391994" w:rsidRPr="00A956B7">
        <w:rPr>
          <w:rFonts w:ascii="Arial" w:hAnsi="Arial" w:cs="Arial"/>
          <w:sz w:val="20"/>
          <w:szCs w:val="20"/>
        </w:rPr>
        <w:t>parcial</w:t>
      </w:r>
      <w:r w:rsidR="009A56D5" w:rsidRPr="00A956B7">
        <w:rPr>
          <w:rFonts w:ascii="Arial" w:hAnsi="Arial" w:cs="Arial"/>
          <w:sz w:val="20"/>
          <w:szCs w:val="20"/>
        </w:rPr>
        <w:t xml:space="preserve">mente </w:t>
      </w:r>
      <w:r w:rsidR="00750DF4" w:rsidRPr="00A956B7">
        <w:rPr>
          <w:rFonts w:ascii="Arial" w:hAnsi="Arial" w:cs="Arial"/>
          <w:sz w:val="20"/>
          <w:szCs w:val="20"/>
        </w:rPr>
        <w:t>(IGOT de</w:t>
      </w:r>
      <w:r w:rsidR="00391994" w:rsidRPr="00A956B7">
        <w:rPr>
          <w:rFonts w:ascii="Arial" w:hAnsi="Arial" w:cs="Arial"/>
          <w:sz w:val="20"/>
          <w:szCs w:val="20"/>
        </w:rPr>
        <w:t xml:space="preserve"> 5</w:t>
      </w:r>
      <w:r w:rsidR="00B55ACD" w:rsidRPr="00A956B7">
        <w:rPr>
          <w:rFonts w:ascii="Arial" w:hAnsi="Arial" w:cs="Arial"/>
          <w:sz w:val="20"/>
          <w:szCs w:val="20"/>
        </w:rPr>
        <w:t>9</w:t>
      </w:r>
      <w:r w:rsidR="00922334" w:rsidRPr="00A956B7">
        <w:rPr>
          <w:rFonts w:ascii="Arial" w:hAnsi="Arial" w:cs="Arial"/>
          <w:sz w:val="20"/>
          <w:szCs w:val="20"/>
        </w:rPr>
        <w:t>.99</w:t>
      </w:r>
      <w:r w:rsidR="00391994" w:rsidRPr="00A956B7">
        <w:rPr>
          <w:rFonts w:ascii="Arial" w:hAnsi="Arial" w:cs="Arial"/>
          <w:sz w:val="20"/>
          <w:szCs w:val="20"/>
        </w:rPr>
        <w:t>% o inferior</w:t>
      </w:r>
      <w:r w:rsidR="00750DF4" w:rsidRPr="00A956B7">
        <w:rPr>
          <w:rFonts w:ascii="Arial" w:hAnsi="Arial" w:cs="Arial"/>
          <w:sz w:val="20"/>
          <w:szCs w:val="20"/>
        </w:rPr>
        <w:t>)</w:t>
      </w:r>
      <w:r w:rsidR="00391994" w:rsidRPr="00A956B7">
        <w:rPr>
          <w:rFonts w:ascii="Arial" w:hAnsi="Arial" w:cs="Arial"/>
          <w:sz w:val="20"/>
          <w:szCs w:val="20"/>
        </w:rPr>
        <w:t xml:space="preserve">. Estos </w:t>
      </w:r>
      <w:r w:rsidRPr="00A956B7">
        <w:rPr>
          <w:rFonts w:ascii="Arial" w:hAnsi="Arial" w:cs="Arial"/>
          <w:sz w:val="20"/>
          <w:szCs w:val="20"/>
        </w:rPr>
        <w:t xml:space="preserve">tres </w:t>
      </w:r>
      <w:r w:rsidR="00391994" w:rsidRPr="00A956B7">
        <w:rPr>
          <w:rFonts w:ascii="Arial" w:hAnsi="Arial" w:cs="Arial"/>
          <w:sz w:val="20"/>
          <w:szCs w:val="20"/>
        </w:rPr>
        <w:t>sujetos forman parte de</w:t>
      </w:r>
      <w:r w:rsidRPr="00A956B7">
        <w:rPr>
          <w:rFonts w:ascii="Arial" w:hAnsi="Arial" w:cs="Arial"/>
          <w:sz w:val="20"/>
          <w:szCs w:val="20"/>
        </w:rPr>
        <w:t xml:space="preserve">l conjunto de </w:t>
      </w:r>
      <w:r w:rsidR="00391994" w:rsidRPr="00A956B7">
        <w:rPr>
          <w:rFonts w:ascii="Arial" w:hAnsi="Arial" w:cs="Arial"/>
          <w:sz w:val="20"/>
          <w:szCs w:val="20"/>
        </w:rPr>
        <w:t>Organismos Desconcentrados, Descentralizados, Paraestatales y Auxiliares.</w:t>
      </w:r>
    </w:p>
    <w:p w14:paraId="05CFD3BB" w14:textId="77777777" w:rsidR="00391994" w:rsidRPr="00A956B7" w:rsidRDefault="00391994" w:rsidP="00391994">
      <w:pPr>
        <w:spacing w:line="360" w:lineRule="auto"/>
        <w:contextualSpacing/>
        <w:jc w:val="both"/>
        <w:rPr>
          <w:rFonts w:ascii="Arial" w:hAnsi="Arial" w:cs="Arial"/>
          <w:sz w:val="20"/>
          <w:szCs w:val="20"/>
        </w:rPr>
      </w:pPr>
    </w:p>
    <w:p w14:paraId="10FA56AC" w14:textId="09E08294" w:rsidR="0098236C" w:rsidRPr="00A956B7" w:rsidRDefault="004D3B5B" w:rsidP="00391994">
      <w:pPr>
        <w:spacing w:line="360" w:lineRule="auto"/>
        <w:contextualSpacing/>
        <w:jc w:val="both"/>
        <w:rPr>
          <w:rFonts w:ascii="Arial" w:hAnsi="Arial" w:cs="Arial"/>
          <w:sz w:val="20"/>
          <w:szCs w:val="20"/>
        </w:rPr>
      </w:pPr>
      <w:r w:rsidRPr="00A956B7">
        <w:rPr>
          <w:rFonts w:ascii="Arial" w:hAnsi="Arial" w:cs="Arial"/>
          <w:sz w:val="20"/>
          <w:szCs w:val="20"/>
        </w:rPr>
        <w:t>Por ámbito el promedio de cumplimento se observó de la siguiente manera:</w:t>
      </w:r>
      <w:r w:rsidR="0098236C" w:rsidRPr="00A956B7">
        <w:rPr>
          <w:rFonts w:ascii="Arial" w:hAnsi="Arial" w:cs="Arial"/>
          <w:sz w:val="20"/>
          <w:szCs w:val="20"/>
        </w:rPr>
        <w:t xml:space="preserve"> 96.24% para el Órgano Autónomo, 96.23% para la Administración Central, 95.03% para el Poder Legislativo, 87.89% para las Demarcaciones Políticas, 87.20% para el Sindicato y 66.72% para los Órganos Desconcentrados, Fondos y Fideicomisos.</w:t>
      </w:r>
    </w:p>
    <w:p w14:paraId="6EDBBEA0" w14:textId="77777777" w:rsidR="0098236C" w:rsidRPr="00A956B7" w:rsidRDefault="0098236C" w:rsidP="00391994">
      <w:pPr>
        <w:spacing w:line="360" w:lineRule="auto"/>
        <w:contextualSpacing/>
        <w:jc w:val="both"/>
        <w:rPr>
          <w:rFonts w:ascii="Arial" w:hAnsi="Arial" w:cs="Arial"/>
          <w:sz w:val="20"/>
          <w:szCs w:val="20"/>
        </w:rPr>
      </w:pPr>
    </w:p>
    <w:p w14:paraId="7F2CFE87" w14:textId="77777777" w:rsidR="00EA19AB" w:rsidRPr="00A956B7" w:rsidRDefault="00E80692" w:rsidP="00EA19AB">
      <w:pPr>
        <w:spacing w:line="360" w:lineRule="auto"/>
        <w:contextualSpacing/>
        <w:jc w:val="both"/>
        <w:rPr>
          <w:rFonts w:ascii="Arial" w:hAnsi="Arial" w:cs="Arial"/>
          <w:sz w:val="20"/>
          <w:szCs w:val="20"/>
        </w:rPr>
      </w:pPr>
      <w:r w:rsidRPr="00A956B7">
        <w:rPr>
          <w:rFonts w:ascii="Arial" w:hAnsi="Arial" w:cs="Arial"/>
          <w:sz w:val="20"/>
          <w:szCs w:val="20"/>
        </w:rPr>
        <w:t xml:space="preserve">Esta </w:t>
      </w:r>
      <w:r w:rsidR="00391994" w:rsidRPr="00A956B7">
        <w:rPr>
          <w:rFonts w:ascii="Arial" w:hAnsi="Arial" w:cs="Arial"/>
          <w:sz w:val="20"/>
          <w:szCs w:val="20"/>
        </w:rPr>
        <w:t>evaluación</w:t>
      </w:r>
      <w:r w:rsidR="009A56D5" w:rsidRPr="00A956B7">
        <w:rPr>
          <w:rFonts w:ascii="Arial" w:hAnsi="Arial" w:cs="Arial"/>
          <w:sz w:val="20"/>
          <w:szCs w:val="20"/>
        </w:rPr>
        <w:t xml:space="preserve"> vinculante 2019</w:t>
      </w:r>
      <w:r w:rsidR="00EA19AB" w:rsidRPr="00A956B7">
        <w:rPr>
          <w:rFonts w:ascii="Arial" w:hAnsi="Arial" w:cs="Arial"/>
          <w:sz w:val="20"/>
          <w:szCs w:val="20"/>
        </w:rPr>
        <w:t xml:space="preserve"> identificó</w:t>
      </w:r>
      <w:r w:rsidRPr="00A956B7">
        <w:rPr>
          <w:rFonts w:ascii="Arial" w:hAnsi="Arial" w:cs="Arial"/>
          <w:sz w:val="20"/>
          <w:szCs w:val="20"/>
        </w:rPr>
        <w:t xml:space="preserve"> </w:t>
      </w:r>
      <w:r w:rsidR="00EA19AB" w:rsidRPr="00A956B7">
        <w:rPr>
          <w:rFonts w:ascii="Arial" w:hAnsi="Arial" w:cs="Arial"/>
          <w:sz w:val="20"/>
          <w:szCs w:val="20"/>
        </w:rPr>
        <w:t>que</w:t>
      </w:r>
      <w:r w:rsidRPr="00A956B7">
        <w:rPr>
          <w:rFonts w:ascii="Arial" w:hAnsi="Arial" w:cs="Arial"/>
          <w:sz w:val="20"/>
          <w:szCs w:val="20"/>
        </w:rPr>
        <w:t>,</w:t>
      </w:r>
      <w:r w:rsidR="00EA19AB" w:rsidRPr="00A956B7">
        <w:rPr>
          <w:rFonts w:ascii="Arial" w:hAnsi="Arial" w:cs="Arial"/>
          <w:sz w:val="20"/>
          <w:szCs w:val="20"/>
        </w:rPr>
        <w:t xml:space="preserve"> </w:t>
      </w:r>
      <w:r w:rsidR="0098236C" w:rsidRPr="00A956B7">
        <w:rPr>
          <w:rFonts w:ascii="Arial" w:hAnsi="Arial" w:cs="Arial"/>
          <w:sz w:val="20"/>
          <w:szCs w:val="20"/>
        </w:rPr>
        <w:t>IGOT</w:t>
      </w:r>
      <w:r w:rsidR="00EA19AB" w:rsidRPr="00A956B7">
        <w:rPr>
          <w:rFonts w:ascii="Arial" w:hAnsi="Arial" w:cs="Arial"/>
          <w:sz w:val="20"/>
          <w:szCs w:val="20"/>
        </w:rPr>
        <w:t xml:space="preserve"> Ciudad en México (85.38%)</w:t>
      </w:r>
      <w:r w:rsidRPr="00A956B7">
        <w:rPr>
          <w:rFonts w:ascii="Arial" w:hAnsi="Arial" w:cs="Arial"/>
          <w:sz w:val="20"/>
          <w:szCs w:val="20"/>
        </w:rPr>
        <w:t>,</w:t>
      </w:r>
      <w:r w:rsidR="00EA19AB" w:rsidRPr="00A956B7">
        <w:rPr>
          <w:rFonts w:ascii="Arial" w:hAnsi="Arial" w:cs="Arial"/>
          <w:sz w:val="20"/>
          <w:szCs w:val="20"/>
        </w:rPr>
        <w:t xml:space="preserve"> el 1.91% pertenece a notas aclaratorias y el 83.48% a información publicada en la Plataforma Nacional y en los portales institucionales. A través de las notas aclaratorias los sujetos obligados explican la ausencia de información. </w:t>
      </w:r>
    </w:p>
    <w:p w14:paraId="7C2D6B5D" w14:textId="77777777" w:rsidR="00EA19AB" w:rsidRPr="00A956B7" w:rsidRDefault="00EA19AB" w:rsidP="00EA19AB">
      <w:pPr>
        <w:spacing w:line="360" w:lineRule="auto"/>
        <w:contextualSpacing/>
        <w:jc w:val="both"/>
        <w:rPr>
          <w:rFonts w:ascii="Arial" w:hAnsi="Arial" w:cs="Arial"/>
          <w:sz w:val="20"/>
          <w:szCs w:val="20"/>
        </w:rPr>
      </w:pPr>
    </w:p>
    <w:p w14:paraId="757CC565" w14:textId="77777777" w:rsidR="00EA19AB" w:rsidRPr="00A956B7" w:rsidRDefault="00EA19AB" w:rsidP="00EA19AB">
      <w:pPr>
        <w:spacing w:line="360" w:lineRule="auto"/>
        <w:contextualSpacing/>
        <w:jc w:val="both"/>
        <w:rPr>
          <w:rFonts w:ascii="Arial" w:hAnsi="Arial" w:cs="Arial"/>
          <w:sz w:val="20"/>
          <w:szCs w:val="20"/>
        </w:rPr>
      </w:pPr>
      <w:r w:rsidRPr="00A956B7">
        <w:rPr>
          <w:rFonts w:ascii="Arial" w:hAnsi="Arial" w:cs="Arial"/>
          <w:sz w:val="20"/>
          <w:szCs w:val="20"/>
        </w:rPr>
        <w:t xml:space="preserve">En este contexto, el promedio equivalente a notas aclaratorias por ámbito </w:t>
      </w:r>
      <w:r w:rsidR="00E80692" w:rsidRPr="00A956B7">
        <w:rPr>
          <w:rFonts w:ascii="Arial" w:hAnsi="Arial" w:cs="Arial"/>
          <w:sz w:val="20"/>
          <w:szCs w:val="20"/>
        </w:rPr>
        <w:t>corresponde al</w:t>
      </w:r>
      <w:r w:rsidRPr="00A956B7">
        <w:rPr>
          <w:rFonts w:ascii="Arial" w:hAnsi="Arial" w:cs="Arial"/>
          <w:sz w:val="20"/>
          <w:szCs w:val="20"/>
        </w:rPr>
        <w:t xml:space="preserve"> 1.24% de la Administración Central, 1.17% de Órganos Desconcentrados, 2.34% de Alcaldías, 3.9% del Poder Legislativo, 4.4% sobre Órganos Autónomos y 1.6% de Sindicatos. </w:t>
      </w:r>
    </w:p>
    <w:p w14:paraId="4EADA236" w14:textId="77777777" w:rsidR="00391994" w:rsidRPr="00A956B7" w:rsidRDefault="00391994" w:rsidP="00391994">
      <w:pPr>
        <w:spacing w:line="360" w:lineRule="auto"/>
        <w:contextualSpacing/>
        <w:jc w:val="both"/>
        <w:rPr>
          <w:rFonts w:ascii="Arial" w:hAnsi="Arial" w:cs="Arial"/>
          <w:sz w:val="20"/>
          <w:szCs w:val="20"/>
        </w:rPr>
      </w:pPr>
    </w:p>
    <w:p w14:paraId="7634C875" w14:textId="11947362" w:rsidR="00391994" w:rsidRPr="00A956B7" w:rsidRDefault="00391994" w:rsidP="00391994">
      <w:pPr>
        <w:spacing w:line="360" w:lineRule="auto"/>
        <w:contextualSpacing/>
        <w:jc w:val="both"/>
        <w:rPr>
          <w:rFonts w:ascii="Arial" w:hAnsi="Arial" w:cs="Arial"/>
          <w:sz w:val="20"/>
          <w:szCs w:val="20"/>
        </w:rPr>
      </w:pPr>
      <w:r w:rsidRPr="00A956B7">
        <w:rPr>
          <w:rFonts w:ascii="Arial" w:hAnsi="Arial" w:cs="Arial"/>
          <w:sz w:val="20"/>
          <w:szCs w:val="20"/>
        </w:rPr>
        <w:t>Los resultados anteriormente expuestos se presentan en la</w:t>
      </w:r>
      <w:r w:rsidR="0042327F" w:rsidRPr="00A956B7">
        <w:rPr>
          <w:rFonts w:ascii="Arial" w:hAnsi="Arial" w:cs="Arial"/>
          <w:sz w:val="20"/>
          <w:szCs w:val="20"/>
        </w:rPr>
        <w:t>s</w:t>
      </w:r>
      <w:r w:rsidRPr="00A956B7">
        <w:rPr>
          <w:rFonts w:ascii="Arial" w:hAnsi="Arial" w:cs="Arial"/>
          <w:sz w:val="20"/>
          <w:szCs w:val="20"/>
        </w:rPr>
        <w:t xml:space="preserve"> siguiente</w:t>
      </w:r>
      <w:r w:rsidR="0042327F" w:rsidRPr="00A956B7">
        <w:rPr>
          <w:rFonts w:ascii="Arial" w:hAnsi="Arial" w:cs="Arial"/>
          <w:sz w:val="20"/>
          <w:szCs w:val="20"/>
        </w:rPr>
        <w:t>s tabla y</w:t>
      </w:r>
      <w:r w:rsidRPr="00A956B7">
        <w:rPr>
          <w:rFonts w:ascii="Arial" w:hAnsi="Arial" w:cs="Arial"/>
          <w:sz w:val="20"/>
          <w:szCs w:val="20"/>
        </w:rPr>
        <w:t xml:space="preserve"> </w:t>
      </w:r>
      <w:r w:rsidR="00E80692" w:rsidRPr="00A956B7">
        <w:rPr>
          <w:rFonts w:ascii="Arial" w:hAnsi="Arial" w:cs="Arial"/>
          <w:sz w:val="20"/>
          <w:szCs w:val="20"/>
        </w:rPr>
        <w:t>gráfica</w:t>
      </w:r>
      <w:r w:rsidRPr="00A956B7">
        <w:rPr>
          <w:rFonts w:ascii="Arial" w:hAnsi="Arial" w:cs="Arial"/>
          <w:sz w:val="20"/>
          <w:szCs w:val="20"/>
        </w:rPr>
        <w:t>:</w:t>
      </w:r>
    </w:p>
    <w:p w14:paraId="61FB1E59" w14:textId="193C42EF" w:rsidR="00391994" w:rsidRPr="00A956B7" w:rsidRDefault="00391994" w:rsidP="0042327F">
      <w:pPr>
        <w:spacing w:line="360" w:lineRule="auto"/>
        <w:contextualSpacing/>
        <w:jc w:val="center"/>
        <w:rPr>
          <w:rFonts w:ascii="Arial" w:hAnsi="Arial" w:cs="Arial"/>
          <w:sz w:val="20"/>
          <w:szCs w:val="20"/>
        </w:rPr>
      </w:pPr>
    </w:p>
    <w:tbl>
      <w:tblPr>
        <w:tblW w:w="8675" w:type="dxa"/>
        <w:tblInd w:w="75" w:type="dxa"/>
        <w:tblCellMar>
          <w:left w:w="70" w:type="dxa"/>
          <w:right w:w="70" w:type="dxa"/>
        </w:tblCellMar>
        <w:tblLook w:val="04A0" w:firstRow="1" w:lastRow="0" w:firstColumn="1" w:lastColumn="0" w:noHBand="0" w:noVBand="1"/>
      </w:tblPr>
      <w:tblGrid>
        <w:gridCol w:w="1819"/>
        <w:gridCol w:w="1085"/>
        <w:gridCol w:w="1474"/>
        <w:gridCol w:w="1474"/>
        <w:gridCol w:w="1618"/>
        <w:gridCol w:w="1618"/>
      </w:tblGrid>
      <w:tr w:rsidR="00391994" w:rsidRPr="00A956B7" w14:paraId="0DB0D485" w14:textId="77777777" w:rsidTr="0042327F">
        <w:trPr>
          <w:trHeight w:val="14"/>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9C82142"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lastRenderedPageBreak/>
              <w:t>Rubros de cumplimiento de los sujetos obligados de la Ciudad de México</w:t>
            </w:r>
          </w:p>
        </w:tc>
      </w:tr>
      <w:tr w:rsidR="0042327F" w:rsidRPr="00A956B7" w14:paraId="5C9B2EE9" w14:textId="77777777" w:rsidTr="0042327F">
        <w:trPr>
          <w:trHeight w:val="14"/>
          <w:tblHeader/>
        </w:trPr>
        <w:tc>
          <w:tcPr>
            <w:tcW w:w="0" w:type="auto"/>
            <w:tcBorders>
              <w:top w:val="nil"/>
              <w:left w:val="single" w:sz="4" w:space="0" w:color="auto"/>
              <w:bottom w:val="single" w:sz="4" w:space="0" w:color="auto"/>
              <w:right w:val="single" w:sz="4" w:space="0" w:color="auto"/>
            </w:tcBorders>
            <w:shd w:val="clear" w:color="000000" w:fill="33CCCC"/>
            <w:vAlign w:val="center"/>
            <w:hideMark/>
          </w:tcPr>
          <w:p w14:paraId="53D5A963"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Ámbito</w:t>
            </w:r>
          </w:p>
        </w:tc>
        <w:tc>
          <w:tcPr>
            <w:tcW w:w="0" w:type="auto"/>
            <w:tcBorders>
              <w:top w:val="nil"/>
              <w:left w:val="nil"/>
              <w:bottom w:val="single" w:sz="4" w:space="0" w:color="auto"/>
              <w:right w:val="single" w:sz="4" w:space="0" w:color="auto"/>
            </w:tcBorders>
            <w:shd w:val="clear" w:color="000000" w:fill="33CCCC"/>
            <w:vAlign w:val="center"/>
            <w:hideMark/>
          </w:tcPr>
          <w:p w14:paraId="46D02836"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Número total de sujetos obligados</w:t>
            </w:r>
          </w:p>
        </w:tc>
        <w:tc>
          <w:tcPr>
            <w:tcW w:w="0" w:type="auto"/>
            <w:tcBorders>
              <w:top w:val="nil"/>
              <w:left w:val="nil"/>
              <w:bottom w:val="single" w:sz="4" w:space="0" w:color="auto"/>
              <w:right w:val="single" w:sz="4" w:space="0" w:color="auto"/>
            </w:tcBorders>
            <w:shd w:val="clear" w:color="000000" w:fill="33CCCC"/>
            <w:vAlign w:val="center"/>
            <w:hideMark/>
          </w:tcPr>
          <w:p w14:paraId="3AA37303" w14:textId="70AF2FD8"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Cumplimiento total</w:t>
            </w:r>
          </w:p>
          <w:p w14:paraId="2B801A4D"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(100 puntos)</w:t>
            </w:r>
          </w:p>
        </w:tc>
        <w:tc>
          <w:tcPr>
            <w:tcW w:w="0" w:type="auto"/>
            <w:tcBorders>
              <w:top w:val="nil"/>
              <w:left w:val="nil"/>
              <w:bottom w:val="single" w:sz="4" w:space="0" w:color="auto"/>
              <w:right w:val="single" w:sz="4" w:space="0" w:color="auto"/>
            </w:tcBorders>
            <w:shd w:val="clear" w:color="000000" w:fill="33CCCC"/>
            <w:vAlign w:val="center"/>
            <w:hideMark/>
          </w:tcPr>
          <w:p w14:paraId="6C7DB823"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Cumplimiento parcial (</w:t>
            </w:r>
          </w:p>
          <w:p w14:paraId="2E0E1173"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60 a 99.99 puntos)</w:t>
            </w:r>
          </w:p>
        </w:tc>
        <w:tc>
          <w:tcPr>
            <w:tcW w:w="0" w:type="auto"/>
            <w:tcBorders>
              <w:top w:val="nil"/>
              <w:left w:val="nil"/>
              <w:bottom w:val="single" w:sz="4" w:space="0" w:color="auto"/>
              <w:right w:val="single" w:sz="4" w:space="0" w:color="auto"/>
            </w:tcBorders>
            <w:shd w:val="clear" w:color="000000" w:fill="33CCCC"/>
            <w:vAlign w:val="center"/>
            <w:hideMark/>
          </w:tcPr>
          <w:p w14:paraId="6CC030A2" w14:textId="0BCB6A42"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Incumplimiento parcial</w:t>
            </w:r>
          </w:p>
          <w:p w14:paraId="2416981C"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(1 a 59.99 puntos)</w:t>
            </w:r>
          </w:p>
        </w:tc>
        <w:tc>
          <w:tcPr>
            <w:tcW w:w="0" w:type="auto"/>
            <w:tcBorders>
              <w:top w:val="nil"/>
              <w:left w:val="nil"/>
              <w:bottom w:val="single" w:sz="4" w:space="0" w:color="auto"/>
              <w:right w:val="single" w:sz="4" w:space="0" w:color="auto"/>
            </w:tcBorders>
            <w:shd w:val="clear" w:color="000000" w:fill="33CCCC"/>
            <w:vAlign w:val="center"/>
            <w:hideMark/>
          </w:tcPr>
          <w:p w14:paraId="11D63B53" w14:textId="15B811F6"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Incumplimiento total</w:t>
            </w:r>
          </w:p>
          <w:p w14:paraId="62AE87C3" w14:textId="5195D5BF"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(0 puntos)</w:t>
            </w:r>
          </w:p>
        </w:tc>
      </w:tr>
      <w:tr w:rsidR="0042327F" w:rsidRPr="00A956B7" w14:paraId="75E7AAFD" w14:textId="77777777" w:rsidTr="0042327F">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639023"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Administración Pública Centralizada</w:t>
            </w:r>
          </w:p>
        </w:tc>
        <w:tc>
          <w:tcPr>
            <w:tcW w:w="0" w:type="auto"/>
            <w:tcBorders>
              <w:top w:val="nil"/>
              <w:left w:val="nil"/>
              <w:bottom w:val="single" w:sz="4" w:space="0" w:color="auto"/>
              <w:right w:val="single" w:sz="4" w:space="0" w:color="auto"/>
            </w:tcBorders>
            <w:shd w:val="clear" w:color="000000" w:fill="FFFFFF"/>
            <w:vAlign w:val="center"/>
            <w:hideMark/>
          </w:tcPr>
          <w:p w14:paraId="2E9D7358"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695ECEA2"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52A0A9E"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8E65392"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20F1C3"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r>
      <w:tr w:rsidR="0042327F" w:rsidRPr="00A956B7" w14:paraId="43DC3AF9" w14:textId="77777777" w:rsidTr="0042327F">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397B45B"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Órganos Desconcentrados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DEED80D"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E3787D"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92205E"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F0582B"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732EEF"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r>
      <w:tr w:rsidR="0042327F" w:rsidRPr="00A956B7" w14:paraId="69DA4F8C" w14:textId="77777777" w:rsidTr="0042327F">
        <w:trPr>
          <w:trHeight w:val="450"/>
        </w:trPr>
        <w:tc>
          <w:tcPr>
            <w:tcW w:w="0" w:type="auto"/>
            <w:vMerge/>
            <w:tcBorders>
              <w:top w:val="nil"/>
              <w:left w:val="single" w:sz="4" w:space="0" w:color="auto"/>
              <w:bottom w:val="single" w:sz="4" w:space="0" w:color="auto"/>
              <w:right w:val="single" w:sz="4" w:space="0" w:color="auto"/>
            </w:tcBorders>
            <w:vAlign w:val="center"/>
            <w:hideMark/>
          </w:tcPr>
          <w:p w14:paraId="72CF4C7A" w14:textId="77777777" w:rsidR="00391994" w:rsidRPr="00A956B7" w:rsidRDefault="00391994" w:rsidP="0042327F">
            <w:pPr>
              <w:spacing w:after="0"/>
              <w:jc w:val="center"/>
              <w:rPr>
                <w:rFonts w:ascii="Arial" w:hAnsi="Arial" w:cs="Arial"/>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5B5E55A" w14:textId="77777777" w:rsidR="00391994" w:rsidRPr="00A956B7" w:rsidRDefault="00391994" w:rsidP="0042327F">
            <w:pPr>
              <w:spacing w:after="0"/>
              <w:jc w:val="center"/>
              <w:rPr>
                <w:rFonts w:ascii="Arial" w:hAnsi="Arial" w:cs="Arial"/>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E2C5913" w14:textId="77777777" w:rsidR="00391994" w:rsidRPr="00A956B7" w:rsidRDefault="00391994" w:rsidP="0042327F">
            <w:pPr>
              <w:spacing w:after="0"/>
              <w:jc w:val="cente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66234A1" w14:textId="77777777" w:rsidR="00391994" w:rsidRPr="00A956B7" w:rsidRDefault="00391994" w:rsidP="0042327F">
            <w:pPr>
              <w:spacing w:after="0"/>
              <w:jc w:val="cente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089A862" w14:textId="77777777" w:rsidR="00391994" w:rsidRPr="00A956B7" w:rsidRDefault="00391994" w:rsidP="0042327F">
            <w:pPr>
              <w:spacing w:after="0"/>
              <w:jc w:val="cente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C0D6B4D" w14:textId="77777777" w:rsidR="00391994" w:rsidRPr="00A956B7" w:rsidRDefault="00391994" w:rsidP="0042327F">
            <w:pPr>
              <w:spacing w:after="0"/>
              <w:jc w:val="center"/>
              <w:rPr>
                <w:rFonts w:ascii="Arial" w:hAnsi="Arial" w:cs="Arial"/>
                <w:color w:val="000000"/>
                <w:sz w:val="20"/>
                <w:szCs w:val="20"/>
              </w:rPr>
            </w:pPr>
          </w:p>
        </w:tc>
      </w:tr>
      <w:tr w:rsidR="0042327F" w:rsidRPr="00A956B7" w14:paraId="034864E7" w14:textId="77777777" w:rsidTr="0042327F">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2AACB6"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Alcaldías</w:t>
            </w:r>
          </w:p>
        </w:tc>
        <w:tc>
          <w:tcPr>
            <w:tcW w:w="0" w:type="auto"/>
            <w:tcBorders>
              <w:top w:val="nil"/>
              <w:left w:val="nil"/>
              <w:bottom w:val="single" w:sz="4" w:space="0" w:color="auto"/>
              <w:right w:val="single" w:sz="4" w:space="0" w:color="auto"/>
            </w:tcBorders>
            <w:shd w:val="clear" w:color="000000" w:fill="FFFFFF"/>
            <w:vAlign w:val="center"/>
            <w:hideMark/>
          </w:tcPr>
          <w:p w14:paraId="3B30AFD0"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55D59567"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DD17E42"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68E5B51E"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F622593"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r>
      <w:tr w:rsidR="0042327F" w:rsidRPr="00A956B7" w14:paraId="2AD3C0C9" w14:textId="77777777" w:rsidTr="0042327F">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53A5FF"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Poder Legislativo</w:t>
            </w:r>
          </w:p>
        </w:tc>
        <w:tc>
          <w:tcPr>
            <w:tcW w:w="0" w:type="auto"/>
            <w:tcBorders>
              <w:top w:val="nil"/>
              <w:left w:val="nil"/>
              <w:bottom w:val="single" w:sz="4" w:space="0" w:color="auto"/>
              <w:right w:val="single" w:sz="4" w:space="0" w:color="auto"/>
            </w:tcBorders>
            <w:shd w:val="clear" w:color="000000" w:fill="FFFFFF"/>
            <w:vAlign w:val="center"/>
            <w:hideMark/>
          </w:tcPr>
          <w:p w14:paraId="2313E455"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2B604B"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419FC85"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F93F40"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BFC5849"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r>
      <w:tr w:rsidR="0042327F" w:rsidRPr="00A956B7" w14:paraId="78005390" w14:textId="77777777" w:rsidTr="0042327F">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97B7D0"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Órgano Autónomo</w:t>
            </w:r>
          </w:p>
        </w:tc>
        <w:tc>
          <w:tcPr>
            <w:tcW w:w="0" w:type="auto"/>
            <w:tcBorders>
              <w:top w:val="nil"/>
              <w:left w:val="nil"/>
              <w:bottom w:val="single" w:sz="4" w:space="0" w:color="auto"/>
              <w:right w:val="single" w:sz="4" w:space="0" w:color="auto"/>
            </w:tcBorders>
            <w:shd w:val="clear" w:color="000000" w:fill="FFFFFF"/>
            <w:vAlign w:val="center"/>
            <w:hideMark/>
          </w:tcPr>
          <w:p w14:paraId="0F736368"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8B95323"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8B7550F"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C46F725"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83FFFD"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r>
      <w:tr w:rsidR="0042327F" w:rsidRPr="00A956B7" w14:paraId="79661522" w14:textId="77777777" w:rsidTr="0042327F">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92C688"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Sindicato</w:t>
            </w:r>
          </w:p>
        </w:tc>
        <w:tc>
          <w:tcPr>
            <w:tcW w:w="0" w:type="auto"/>
            <w:tcBorders>
              <w:top w:val="nil"/>
              <w:left w:val="nil"/>
              <w:bottom w:val="single" w:sz="4" w:space="0" w:color="auto"/>
              <w:right w:val="single" w:sz="4" w:space="0" w:color="auto"/>
            </w:tcBorders>
            <w:shd w:val="clear" w:color="000000" w:fill="FFFFFF"/>
            <w:vAlign w:val="center"/>
            <w:hideMark/>
          </w:tcPr>
          <w:p w14:paraId="7CD715C3"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26AC92E"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5B4E6EB"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80B8CD9"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E276BF9" w14:textId="77777777" w:rsidR="00391994" w:rsidRPr="00A956B7" w:rsidRDefault="00391994" w:rsidP="0042327F">
            <w:pPr>
              <w:spacing w:after="0"/>
              <w:jc w:val="center"/>
              <w:rPr>
                <w:rFonts w:ascii="Arial" w:hAnsi="Arial" w:cs="Arial"/>
                <w:color w:val="000000"/>
                <w:sz w:val="20"/>
                <w:szCs w:val="20"/>
              </w:rPr>
            </w:pPr>
            <w:r w:rsidRPr="00A956B7">
              <w:rPr>
                <w:rFonts w:ascii="Arial" w:hAnsi="Arial" w:cs="Arial"/>
                <w:color w:val="000000"/>
                <w:sz w:val="20"/>
                <w:szCs w:val="20"/>
              </w:rPr>
              <w:t>0</w:t>
            </w:r>
          </w:p>
        </w:tc>
      </w:tr>
      <w:tr w:rsidR="0042327F" w:rsidRPr="00A956B7" w14:paraId="3555218D" w14:textId="77777777" w:rsidTr="0042327F">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5A5EC" w14:textId="7C35CFE2"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Total</w:t>
            </w:r>
          </w:p>
        </w:tc>
        <w:tc>
          <w:tcPr>
            <w:tcW w:w="0" w:type="auto"/>
            <w:tcBorders>
              <w:top w:val="nil"/>
              <w:left w:val="nil"/>
              <w:bottom w:val="single" w:sz="4" w:space="0" w:color="auto"/>
              <w:right w:val="single" w:sz="4" w:space="0" w:color="auto"/>
            </w:tcBorders>
            <w:shd w:val="clear" w:color="auto" w:fill="auto"/>
            <w:vAlign w:val="center"/>
            <w:hideMark/>
          </w:tcPr>
          <w:p w14:paraId="76FB3037"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14:paraId="1D7593E3"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42B72024"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0658D328"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8A9635A" w14:textId="77777777" w:rsidR="00391994" w:rsidRPr="00A956B7" w:rsidRDefault="00391994" w:rsidP="0042327F">
            <w:pPr>
              <w:spacing w:after="0"/>
              <w:jc w:val="center"/>
              <w:rPr>
                <w:rFonts w:ascii="Arial" w:hAnsi="Arial" w:cs="Arial"/>
                <w:b/>
                <w:bCs/>
                <w:color w:val="000000"/>
                <w:sz w:val="20"/>
                <w:szCs w:val="20"/>
              </w:rPr>
            </w:pPr>
            <w:r w:rsidRPr="00A956B7">
              <w:rPr>
                <w:rFonts w:ascii="Arial" w:hAnsi="Arial" w:cs="Arial"/>
                <w:b/>
                <w:bCs/>
                <w:color w:val="000000"/>
                <w:sz w:val="20"/>
                <w:szCs w:val="20"/>
              </w:rPr>
              <w:t>0</w:t>
            </w:r>
          </w:p>
        </w:tc>
      </w:tr>
    </w:tbl>
    <w:p w14:paraId="227A7C94" w14:textId="3C24D1D4" w:rsidR="0042327F" w:rsidRPr="00A956B7" w:rsidRDefault="0042327F" w:rsidP="0042327F">
      <w:pPr>
        <w:pStyle w:val="Ttulo1"/>
        <w:jc w:val="center"/>
        <w:rPr>
          <w:rFonts w:ascii="Arial" w:hAnsi="Arial" w:cs="Arial"/>
          <w:b/>
          <w:color w:val="auto"/>
          <w:sz w:val="20"/>
          <w:szCs w:val="20"/>
        </w:rPr>
      </w:pPr>
    </w:p>
    <w:p w14:paraId="22E579D2" w14:textId="49E9F7A3" w:rsidR="0042327F" w:rsidRPr="00A956B7" w:rsidRDefault="0042327F" w:rsidP="0042327F">
      <w:pPr>
        <w:jc w:val="center"/>
      </w:pPr>
      <w:r w:rsidRPr="00A956B7">
        <w:rPr>
          <w:rFonts w:ascii="Arial" w:hAnsi="Arial" w:cs="Arial"/>
          <w:noProof/>
          <w:sz w:val="20"/>
          <w:szCs w:val="20"/>
        </w:rPr>
        <w:drawing>
          <wp:anchor distT="0" distB="0" distL="114300" distR="114300" simplePos="0" relativeHeight="251662336" behindDoc="0" locked="0" layoutInCell="1" allowOverlap="1" wp14:anchorId="18DDD858" wp14:editId="3BC16F54">
            <wp:simplePos x="0" y="0"/>
            <wp:positionH relativeFrom="column">
              <wp:posOffset>0</wp:posOffset>
            </wp:positionH>
            <wp:positionV relativeFrom="paragraph">
              <wp:posOffset>285115</wp:posOffset>
            </wp:positionV>
            <wp:extent cx="5486400" cy="320040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1DF4FE5C" w14:textId="5F88E9B4" w:rsidR="0098236C" w:rsidRPr="00A956B7" w:rsidRDefault="00391994" w:rsidP="00750DF4">
      <w:pPr>
        <w:pStyle w:val="Ttulo1"/>
        <w:rPr>
          <w:rFonts w:ascii="Arial" w:hAnsi="Arial" w:cs="Arial"/>
          <w:b/>
          <w:color w:val="auto"/>
          <w:sz w:val="20"/>
          <w:szCs w:val="20"/>
        </w:rPr>
      </w:pPr>
      <w:r w:rsidRPr="00A956B7">
        <w:rPr>
          <w:rFonts w:ascii="Arial" w:hAnsi="Arial" w:cs="Arial"/>
          <w:b/>
          <w:color w:val="auto"/>
          <w:sz w:val="20"/>
          <w:szCs w:val="20"/>
        </w:rPr>
        <w:t xml:space="preserve">CONCLUSIONES </w:t>
      </w:r>
    </w:p>
    <w:p w14:paraId="5ACEC49F" w14:textId="77777777" w:rsidR="00750DF4" w:rsidRPr="00A956B7" w:rsidRDefault="00750DF4" w:rsidP="00750DF4"/>
    <w:p w14:paraId="4959E040" w14:textId="77777777" w:rsidR="00391994" w:rsidRPr="00A956B7" w:rsidRDefault="00391994" w:rsidP="00391994">
      <w:pPr>
        <w:pStyle w:val="Prrafodelista"/>
        <w:numPr>
          <w:ilvl w:val="0"/>
          <w:numId w:val="26"/>
        </w:numPr>
        <w:spacing w:line="360" w:lineRule="auto"/>
        <w:jc w:val="both"/>
        <w:rPr>
          <w:rFonts w:ascii="Arial" w:hAnsi="Arial" w:cs="Arial"/>
          <w:sz w:val="20"/>
          <w:szCs w:val="20"/>
        </w:rPr>
      </w:pPr>
      <w:r w:rsidRPr="00A956B7">
        <w:rPr>
          <w:rFonts w:ascii="Arial" w:hAnsi="Arial" w:cs="Arial"/>
          <w:sz w:val="20"/>
          <w:szCs w:val="20"/>
        </w:rPr>
        <w:t xml:space="preserve">Los sujetos obligados deben actualizar la información, por lo menos, de manera trimestral en atención al </w:t>
      </w:r>
      <w:r w:rsidR="0098236C" w:rsidRPr="00A956B7">
        <w:rPr>
          <w:rFonts w:ascii="Arial" w:hAnsi="Arial" w:cs="Arial"/>
          <w:sz w:val="20"/>
          <w:szCs w:val="20"/>
        </w:rPr>
        <w:t>a</w:t>
      </w:r>
      <w:r w:rsidRPr="00A956B7">
        <w:rPr>
          <w:rFonts w:ascii="Arial" w:hAnsi="Arial" w:cs="Arial"/>
          <w:sz w:val="20"/>
          <w:szCs w:val="20"/>
        </w:rPr>
        <w:t xml:space="preserve">rtículo </w:t>
      </w:r>
      <w:r w:rsidR="004620E2" w:rsidRPr="00A956B7">
        <w:rPr>
          <w:rFonts w:ascii="Arial" w:hAnsi="Arial" w:cs="Arial"/>
          <w:sz w:val="20"/>
          <w:szCs w:val="20"/>
        </w:rPr>
        <w:t xml:space="preserve">62 de la Ley General de Transparencia y Acceso a la Información Pública y el </w:t>
      </w:r>
      <w:r w:rsidRPr="00A956B7">
        <w:rPr>
          <w:rFonts w:ascii="Arial" w:hAnsi="Arial" w:cs="Arial"/>
          <w:sz w:val="20"/>
          <w:szCs w:val="20"/>
        </w:rPr>
        <w:t xml:space="preserve">116 de la Ley de Transparencia Local. </w:t>
      </w:r>
    </w:p>
    <w:p w14:paraId="17FCE4F3" w14:textId="197BE8F6" w:rsidR="00391994" w:rsidRPr="00A956B7" w:rsidRDefault="00391994" w:rsidP="00391994">
      <w:pPr>
        <w:pStyle w:val="Prrafodelista"/>
        <w:numPr>
          <w:ilvl w:val="0"/>
          <w:numId w:val="26"/>
        </w:numPr>
        <w:spacing w:line="360" w:lineRule="auto"/>
        <w:jc w:val="both"/>
        <w:rPr>
          <w:rFonts w:ascii="Arial" w:hAnsi="Arial" w:cs="Arial"/>
          <w:sz w:val="20"/>
          <w:szCs w:val="20"/>
        </w:rPr>
      </w:pPr>
      <w:r w:rsidRPr="00A956B7">
        <w:rPr>
          <w:rFonts w:ascii="Arial" w:hAnsi="Arial" w:cs="Arial"/>
          <w:sz w:val="20"/>
          <w:szCs w:val="20"/>
        </w:rPr>
        <w:lastRenderedPageBreak/>
        <w:t>Los sujetos obligados deben publicar el calendario de actualización a través del cual se explica a la sociedad cuál es la información que por sus facultades, competencias y funciones generan, utilizan, poseen o administran y en qué periodos deben publicarla y actualizarla.</w:t>
      </w:r>
    </w:p>
    <w:p w14:paraId="5BE7EEC1" w14:textId="22A22A63" w:rsidR="00391994" w:rsidRPr="00A956B7" w:rsidRDefault="0098236C" w:rsidP="00391994">
      <w:pPr>
        <w:pStyle w:val="Prrafodelista"/>
        <w:numPr>
          <w:ilvl w:val="0"/>
          <w:numId w:val="26"/>
        </w:numPr>
        <w:spacing w:line="360" w:lineRule="auto"/>
        <w:jc w:val="both"/>
        <w:rPr>
          <w:rFonts w:ascii="Arial" w:hAnsi="Arial" w:cs="Arial"/>
          <w:sz w:val="20"/>
          <w:szCs w:val="20"/>
        </w:rPr>
      </w:pPr>
      <w:r w:rsidRPr="00A956B7">
        <w:rPr>
          <w:rFonts w:ascii="Arial" w:hAnsi="Arial" w:cs="Arial"/>
          <w:sz w:val="20"/>
          <w:szCs w:val="20"/>
        </w:rPr>
        <w:t>La</w:t>
      </w:r>
      <w:r w:rsidR="00391994" w:rsidRPr="00A956B7">
        <w:rPr>
          <w:rFonts w:ascii="Arial" w:hAnsi="Arial" w:cs="Arial"/>
          <w:sz w:val="20"/>
          <w:szCs w:val="20"/>
        </w:rPr>
        <w:t xml:space="preserve"> información provista</w:t>
      </w:r>
      <w:r w:rsidRPr="00A956B7">
        <w:rPr>
          <w:rFonts w:ascii="Arial" w:hAnsi="Arial" w:cs="Arial"/>
          <w:sz w:val="20"/>
          <w:szCs w:val="20"/>
        </w:rPr>
        <w:t xml:space="preserve"> en los portales de transparencia</w:t>
      </w:r>
      <w:r w:rsidR="00391994" w:rsidRPr="00A956B7">
        <w:rPr>
          <w:rFonts w:ascii="Arial" w:hAnsi="Arial" w:cs="Arial"/>
          <w:sz w:val="20"/>
          <w:szCs w:val="20"/>
        </w:rPr>
        <w:t xml:space="preserve"> no cuenta con los criterios mínimos dispuestos en lo que se refiere a formatos accesibles y datos abiertos</w:t>
      </w:r>
      <w:r w:rsidR="000A5ECB" w:rsidRPr="00A956B7">
        <w:rPr>
          <w:rFonts w:ascii="Arial" w:hAnsi="Arial" w:cs="Arial"/>
          <w:sz w:val="20"/>
          <w:szCs w:val="20"/>
        </w:rPr>
        <w:t>, tales como que sean integrales, legibles, no discriminatorios, oportunos, permanentes y primarios</w:t>
      </w:r>
      <w:r w:rsidR="00391994" w:rsidRPr="00A956B7">
        <w:rPr>
          <w:rFonts w:ascii="Arial" w:hAnsi="Arial" w:cs="Arial"/>
          <w:sz w:val="20"/>
          <w:szCs w:val="20"/>
        </w:rPr>
        <w:t xml:space="preserve">. </w:t>
      </w:r>
    </w:p>
    <w:p w14:paraId="6BBF4FF5" w14:textId="77777777" w:rsidR="00391994" w:rsidRPr="00A956B7" w:rsidRDefault="00391994" w:rsidP="00391994">
      <w:pPr>
        <w:pStyle w:val="Prrafodelista"/>
        <w:numPr>
          <w:ilvl w:val="0"/>
          <w:numId w:val="26"/>
        </w:numPr>
        <w:spacing w:line="360" w:lineRule="auto"/>
        <w:jc w:val="both"/>
        <w:rPr>
          <w:rFonts w:ascii="Arial" w:hAnsi="Arial" w:cs="Arial"/>
          <w:sz w:val="20"/>
          <w:szCs w:val="20"/>
        </w:rPr>
      </w:pPr>
      <w:r w:rsidRPr="00A956B7">
        <w:rPr>
          <w:rFonts w:ascii="Arial" w:hAnsi="Arial" w:cs="Arial"/>
          <w:sz w:val="20"/>
          <w:szCs w:val="20"/>
        </w:rPr>
        <w:t>Los sujetos obligados deben publicar la información en un lenguaje sencillo y con perspectiva de género, haciendo uso de formatos accesibles y abiertos.</w:t>
      </w:r>
    </w:p>
    <w:p w14:paraId="256B4EC9" w14:textId="77777777" w:rsidR="00391994" w:rsidRPr="00A956B7" w:rsidRDefault="00391994" w:rsidP="00391994">
      <w:pPr>
        <w:pStyle w:val="Prrafodelista"/>
        <w:numPr>
          <w:ilvl w:val="0"/>
          <w:numId w:val="26"/>
        </w:numPr>
        <w:spacing w:line="360" w:lineRule="auto"/>
        <w:jc w:val="both"/>
        <w:rPr>
          <w:rFonts w:ascii="Arial" w:hAnsi="Arial" w:cs="Arial"/>
          <w:sz w:val="20"/>
          <w:szCs w:val="20"/>
        </w:rPr>
      </w:pPr>
      <w:r w:rsidRPr="00A956B7">
        <w:rPr>
          <w:rFonts w:ascii="Arial" w:hAnsi="Arial" w:cs="Arial"/>
          <w:sz w:val="20"/>
          <w:szCs w:val="20"/>
        </w:rPr>
        <w:t xml:space="preserve">Las ligas electrónicas no siempre otorgan acceso específico a la información mencionada o simplemente no están en funcionamiento. </w:t>
      </w:r>
    </w:p>
    <w:p w14:paraId="20BA3456" w14:textId="77777777" w:rsidR="00391994" w:rsidRPr="00A956B7" w:rsidRDefault="004D3B5B" w:rsidP="00391994">
      <w:pPr>
        <w:spacing w:line="360" w:lineRule="auto"/>
        <w:contextualSpacing/>
        <w:jc w:val="both"/>
        <w:rPr>
          <w:rFonts w:ascii="Arial" w:hAnsi="Arial" w:cs="Arial"/>
          <w:b/>
          <w:bCs/>
          <w:sz w:val="20"/>
          <w:szCs w:val="20"/>
        </w:rPr>
      </w:pPr>
      <w:r w:rsidRPr="00A956B7">
        <w:rPr>
          <w:rFonts w:ascii="Arial" w:hAnsi="Arial" w:cs="Arial"/>
          <w:b/>
          <w:bCs/>
          <w:sz w:val="20"/>
          <w:szCs w:val="20"/>
        </w:rPr>
        <w:t>LÍNEAS DE ACCIÓN</w:t>
      </w:r>
    </w:p>
    <w:p w14:paraId="22768D61" w14:textId="4A5BEB7D" w:rsidR="00391994" w:rsidRPr="00A956B7" w:rsidRDefault="00391994" w:rsidP="00391994">
      <w:pPr>
        <w:pStyle w:val="Prrafodelista"/>
        <w:numPr>
          <w:ilvl w:val="0"/>
          <w:numId w:val="27"/>
        </w:numPr>
        <w:spacing w:line="360" w:lineRule="auto"/>
        <w:jc w:val="both"/>
        <w:rPr>
          <w:rFonts w:ascii="Arial" w:hAnsi="Arial" w:cs="Arial"/>
          <w:sz w:val="20"/>
          <w:szCs w:val="20"/>
        </w:rPr>
      </w:pPr>
      <w:r w:rsidRPr="00A956B7">
        <w:rPr>
          <w:rFonts w:ascii="Arial" w:hAnsi="Arial" w:cs="Arial"/>
          <w:sz w:val="20"/>
          <w:szCs w:val="20"/>
        </w:rPr>
        <w:t xml:space="preserve">Se realizará la </w:t>
      </w:r>
      <w:r w:rsidR="0042327F" w:rsidRPr="00A956B7">
        <w:rPr>
          <w:rFonts w:ascii="Arial" w:hAnsi="Arial" w:cs="Arial"/>
          <w:sz w:val="20"/>
          <w:szCs w:val="20"/>
        </w:rPr>
        <w:t>e</w:t>
      </w:r>
      <w:r w:rsidRPr="00A956B7">
        <w:rPr>
          <w:rFonts w:ascii="Arial" w:hAnsi="Arial" w:cs="Arial"/>
          <w:sz w:val="20"/>
          <w:szCs w:val="20"/>
        </w:rPr>
        <w:t>valuación del cumplimiento de lo mandatado en la Segunda Evaluación 2019, respecto del primer semestre del ejercicio 2019 durante el cuarto trimestre del año 2019.</w:t>
      </w:r>
    </w:p>
    <w:p w14:paraId="391A7650" w14:textId="77777777" w:rsidR="00391994" w:rsidRPr="00A956B7" w:rsidRDefault="00391994" w:rsidP="00391994">
      <w:pPr>
        <w:pStyle w:val="Prrafodelista"/>
        <w:numPr>
          <w:ilvl w:val="0"/>
          <w:numId w:val="27"/>
        </w:numPr>
        <w:spacing w:line="360" w:lineRule="auto"/>
        <w:jc w:val="both"/>
        <w:rPr>
          <w:rFonts w:ascii="Arial" w:hAnsi="Arial" w:cs="Arial"/>
          <w:sz w:val="20"/>
          <w:szCs w:val="20"/>
        </w:rPr>
      </w:pPr>
      <w:r w:rsidRPr="00A956B7">
        <w:rPr>
          <w:rFonts w:ascii="Arial" w:hAnsi="Arial" w:cs="Arial"/>
          <w:sz w:val="20"/>
          <w:szCs w:val="20"/>
        </w:rPr>
        <w:t>Se continuará brindando a los sujetos obligados Asesorías Técnicas Especializadas respecto de la publicación y actualización de las obligaciones de transparencia. En noviembre se realizará una con todos los sujetos obligado que integran el Padrón de sujetos obligados vigentes.</w:t>
      </w:r>
    </w:p>
    <w:p w14:paraId="4739BE1E" w14:textId="0BB541A9" w:rsidR="00391994" w:rsidRPr="00A956B7" w:rsidRDefault="00391994" w:rsidP="00391994">
      <w:pPr>
        <w:pStyle w:val="Prrafodelista"/>
        <w:numPr>
          <w:ilvl w:val="0"/>
          <w:numId w:val="27"/>
        </w:numPr>
        <w:spacing w:line="360" w:lineRule="auto"/>
        <w:jc w:val="both"/>
        <w:rPr>
          <w:rFonts w:ascii="Arial" w:hAnsi="Arial" w:cs="Arial"/>
          <w:sz w:val="20"/>
          <w:szCs w:val="20"/>
        </w:rPr>
      </w:pPr>
      <w:r w:rsidRPr="00A956B7">
        <w:rPr>
          <w:rFonts w:ascii="Arial" w:hAnsi="Arial" w:cs="Arial"/>
          <w:sz w:val="20"/>
          <w:szCs w:val="20"/>
        </w:rPr>
        <w:t>Se buscará aprovechar las lecciones de esta evaluación para subsanar</w:t>
      </w:r>
      <w:r w:rsidR="0042327F" w:rsidRPr="00A956B7">
        <w:rPr>
          <w:rFonts w:ascii="Arial" w:hAnsi="Arial" w:cs="Arial"/>
          <w:sz w:val="20"/>
          <w:szCs w:val="20"/>
        </w:rPr>
        <w:t>,</w:t>
      </w:r>
      <w:r w:rsidRPr="00A956B7">
        <w:rPr>
          <w:rFonts w:ascii="Arial" w:hAnsi="Arial" w:cs="Arial"/>
          <w:sz w:val="20"/>
          <w:szCs w:val="20"/>
        </w:rPr>
        <w:t xml:space="preserve"> en el corto plazo</w:t>
      </w:r>
      <w:r w:rsidR="0042327F" w:rsidRPr="00A956B7">
        <w:rPr>
          <w:rFonts w:ascii="Arial" w:hAnsi="Arial" w:cs="Arial"/>
          <w:sz w:val="20"/>
          <w:szCs w:val="20"/>
        </w:rPr>
        <w:t>,</w:t>
      </w:r>
      <w:r w:rsidRPr="00A956B7">
        <w:rPr>
          <w:rFonts w:ascii="Arial" w:hAnsi="Arial" w:cs="Arial"/>
          <w:sz w:val="20"/>
          <w:szCs w:val="20"/>
        </w:rPr>
        <w:t xml:space="preserve"> las omisiones detectadas</w:t>
      </w:r>
      <w:r w:rsidR="0042327F" w:rsidRPr="00A956B7">
        <w:rPr>
          <w:rFonts w:ascii="Arial" w:hAnsi="Arial" w:cs="Arial"/>
          <w:sz w:val="20"/>
          <w:szCs w:val="20"/>
        </w:rPr>
        <w:t>,</w:t>
      </w:r>
      <w:r w:rsidRPr="00A956B7">
        <w:rPr>
          <w:rFonts w:ascii="Arial" w:hAnsi="Arial" w:cs="Arial"/>
          <w:sz w:val="20"/>
          <w:szCs w:val="20"/>
        </w:rPr>
        <w:t xml:space="preserve"> consistentes en:</w:t>
      </w:r>
    </w:p>
    <w:p w14:paraId="0D3F63B0" w14:textId="77777777" w:rsidR="00391994" w:rsidRPr="00A956B7" w:rsidRDefault="00391994" w:rsidP="00391994">
      <w:pPr>
        <w:pStyle w:val="Prrafodelista"/>
        <w:rPr>
          <w:rFonts w:ascii="Arial" w:hAnsi="Arial" w:cs="Arial"/>
          <w:sz w:val="20"/>
          <w:szCs w:val="20"/>
        </w:rPr>
      </w:pPr>
    </w:p>
    <w:p w14:paraId="53E001CC" w14:textId="77777777" w:rsidR="00391994" w:rsidRPr="00A956B7" w:rsidRDefault="00391994" w:rsidP="00391994">
      <w:pPr>
        <w:pStyle w:val="Prrafodelista"/>
        <w:numPr>
          <w:ilvl w:val="1"/>
          <w:numId w:val="27"/>
        </w:numPr>
        <w:spacing w:line="360" w:lineRule="auto"/>
        <w:jc w:val="both"/>
        <w:rPr>
          <w:rFonts w:ascii="Arial" w:hAnsi="Arial" w:cs="Arial"/>
          <w:sz w:val="20"/>
          <w:szCs w:val="20"/>
        </w:rPr>
      </w:pPr>
      <w:r w:rsidRPr="00A956B7">
        <w:rPr>
          <w:rFonts w:ascii="Arial" w:hAnsi="Arial" w:cs="Arial"/>
          <w:sz w:val="20"/>
          <w:szCs w:val="20"/>
        </w:rPr>
        <w:t>La importancia de que los sujetos obligados participen en las asesorías técnicas especializadas, con el objetivo de que éstos puedan subsanar sus dudas respecto de la publicación y actualización de la información.</w:t>
      </w:r>
    </w:p>
    <w:p w14:paraId="53B1C50D" w14:textId="77777777" w:rsidR="00391994" w:rsidRPr="00A956B7" w:rsidRDefault="00391994" w:rsidP="00391994">
      <w:pPr>
        <w:pStyle w:val="Prrafodelista"/>
        <w:numPr>
          <w:ilvl w:val="1"/>
          <w:numId w:val="27"/>
        </w:numPr>
        <w:spacing w:line="360" w:lineRule="auto"/>
        <w:jc w:val="both"/>
        <w:rPr>
          <w:rFonts w:ascii="Arial" w:hAnsi="Arial" w:cs="Arial"/>
          <w:sz w:val="20"/>
          <w:szCs w:val="20"/>
        </w:rPr>
      </w:pPr>
      <w:r w:rsidRPr="00A956B7">
        <w:rPr>
          <w:rFonts w:ascii="Arial" w:hAnsi="Arial" w:cs="Arial"/>
          <w:sz w:val="20"/>
          <w:szCs w:val="20"/>
        </w:rPr>
        <w:t>Concientizar a los sujetos obligados respecto de la importancia de utilizar un lenguaje sencillo, con perspectiva de género y plasmar la información en formatos accesibles y abiertos.</w:t>
      </w:r>
    </w:p>
    <w:p w14:paraId="65E16AAC" w14:textId="77777777" w:rsidR="00391994" w:rsidRPr="00A956B7" w:rsidRDefault="00391994" w:rsidP="00391994">
      <w:pPr>
        <w:pStyle w:val="Prrafodelista"/>
        <w:numPr>
          <w:ilvl w:val="1"/>
          <w:numId w:val="27"/>
        </w:numPr>
        <w:spacing w:line="360" w:lineRule="auto"/>
        <w:jc w:val="both"/>
        <w:rPr>
          <w:rFonts w:ascii="Arial" w:hAnsi="Arial" w:cs="Arial"/>
          <w:sz w:val="20"/>
          <w:szCs w:val="20"/>
        </w:rPr>
      </w:pPr>
      <w:r w:rsidRPr="00A956B7">
        <w:rPr>
          <w:rFonts w:ascii="Arial" w:hAnsi="Arial" w:cs="Arial"/>
          <w:sz w:val="20"/>
          <w:szCs w:val="20"/>
        </w:rPr>
        <w:t>Crear portales web fáciles de usar y accesibles para los grupos que se encuentren en situación de vulnerabilidad,</w:t>
      </w:r>
      <w:r w:rsidR="004620E2" w:rsidRPr="00A956B7">
        <w:rPr>
          <w:rFonts w:ascii="Arial" w:hAnsi="Arial" w:cs="Arial"/>
          <w:sz w:val="20"/>
          <w:szCs w:val="20"/>
        </w:rPr>
        <w:t xml:space="preserve"> implementar</w:t>
      </w:r>
      <w:r w:rsidRPr="00A956B7">
        <w:rPr>
          <w:rFonts w:ascii="Arial" w:hAnsi="Arial" w:cs="Arial"/>
          <w:sz w:val="20"/>
          <w:szCs w:val="20"/>
        </w:rPr>
        <w:t xml:space="preserve"> lectores de página, contrastes de color, temporizador dentro de las ventanas emergentes, entre otras herramientas. </w:t>
      </w:r>
    </w:p>
    <w:p w14:paraId="13C6385B" w14:textId="77777777" w:rsidR="00391994" w:rsidRPr="00A956B7" w:rsidRDefault="00391994" w:rsidP="004620E2">
      <w:pPr>
        <w:spacing w:line="360" w:lineRule="auto"/>
        <w:ind w:left="1080"/>
        <w:jc w:val="both"/>
        <w:rPr>
          <w:rFonts w:ascii="Arial" w:hAnsi="Arial" w:cs="Arial"/>
          <w:sz w:val="20"/>
          <w:szCs w:val="20"/>
        </w:rPr>
      </w:pPr>
      <w:r w:rsidRPr="00A956B7">
        <w:rPr>
          <w:rFonts w:ascii="Arial" w:hAnsi="Arial" w:cs="Arial"/>
          <w:sz w:val="20"/>
          <w:szCs w:val="20"/>
        </w:rPr>
        <w:t>Lo anterior, con el objetivo de asegurar el cumplimiento total de las obligaciones para que las personas puedan aprovechar la información correspondiente.</w:t>
      </w:r>
    </w:p>
    <w:p w14:paraId="366CB5CE" w14:textId="77777777" w:rsidR="00391994" w:rsidRPr="00A956B7" w:rsidRDefault="00391994" w:rsidP="00391994">
      <w:pPr>
        <w:pStyle w:val="Prrafodelista"/>
        <w:numPr>
          <w:ilvl w:val="0"/>
          <w:numId w:val="27"/>
        </w:numPr>
        <w:spacing w:line="360" w:lineRule="auto"/>
        <w:jc w:val="both"/>
        <w:rPr>
          <w:rFonts w:ascii="Arial" w:hAnsi="Arial" w:cs="Arial"/>
          <w:sz w:val="20"/>
          <w:szCs w:val="20"/>
        </w:rPr>
      </w:pPr>
      <w:r w:rsidRPr="00A956B7">
        <w:rPr>
          <w:rFonts w:ascii="Arial" w:hAnsi="Arial" w:cs="Arial"/>
          <w:sz w:val="20"/>
          <w:szCs w:val="20"/>
        </w:rPr>
        <w:t xml:space="preserve">Se buscará promover la transparencia proactiva y la difusión de información de interés público. </w:t>
      </w:r>
    </w:p>
    <w:p w14:paraId="038762E7" w14:textId="77777777" w:rsidR="00391994" w:rsidRPr="00A956B7" w:rsidRDefault="00391994" w:rsidP="004620E2">
      <w:pPr>
        <w:pStyle w:val="Prrafodelista"/>
        <w:numPr>
          <w:ilvl w:val="0"/>
          <w:numId w:val="27"/>
        </w:numPr>
        <w:spacing w:line="360" w:lineRule="auto"/>
        <w:jc w:val="both"/>
        <w:rPr>
          <w:rFonts w:ascii="Arial" w:hAnsi="Arial" w:cs="Arial"/>
          <w:sz w:val="20"/>
          <w:szCs w:val="20"/>
        </w:rPr>
      </w:pPr>
      <w:r w:rsidRPr="00A956B7">
        <w:rPr>
          <w:rFonts w:ascii="Arial" w:hAnsi="Arial" w:cs="Arial"/>
          <w:sz w:val="20"/>
          <w:szCs w:val="20"/>
        </w:rPr>
        <w:t xml:space="preserve">Como órgano garante, el Instituto promoverá un análisis más detenido de los factores que hicieron posible este resultado, </w:t>
      </w:r>
      <w:r w:rsidR="004620E2" w:rsidRPr="00A956B7">
        <w:rPr>
          <w:rFonts w:ascii="Arial" w:hAnsi="Arial" w:cs="Arial"/>
          <w:sz w:val="20"/>
          <w:szCs w:val="20"/>
        </w:rPr>
        <w:t>para identificar</w:t>
      </w:r>
      <w:r w:rsidRPr="00A956B7">
        <w:rPr>
          <w:rFonts w:ascii="Arial" w:hAnsi="Arial" w:cs="Arial"/>
          <w:sz w:val="20"/>
          <w:szCs w:val="20"/>
        </w:rPr>
        <w:t xml:space="preserve"> las buenas prácticas que existen en su trabajo</w:t>
      </w:r>
      <w:r w:rsidR="004620E2" w:rsidRPr="00A956B7">
        <w:rPr>
          <w:rFonts w:ascii="Arial" w:hAnsi="Arial" w:cs="Arial"/>
          <w:sz w:val="20"/>
          <w:szCs w:val="20"/>
        </w:rPr>
        <w:t xml:space="preserve">, generar guías, manuales y documentos de buenas prácticas y </w:t>
      </w:r>
      <w:r w:rsidRPr="00A956B7">
        <w:rPr>
          <w:rFonts w:ascii="Arial" w:hAnsi="Arial" w:cs="Arial"/>
          <w:sz w:val="20"/>
          <w:szCs w:val="20"/>
        </w:rPr>
        <w:t>socializ</w:t>
      </w:r>
      <w:r w:rsidR="004620E2" w:rsidRPr="00A956B7">
        <w:rPr>
          <w:rFonts w:ascii="Arial" w:hAnsi="Arial" w:cs="Arial"/>
          <w:sz w:val="20"/>
          <w:szCs w:val="20"/>
        </w:rPr>
        <w:t>arlas</w:t>
      </w:r>
      <w:r w:rsidRPr="00A956B7">
        <w:rPr>
          <w:rFonts w:ascii="Arial" w:hAnsi="Arial" w:cs="Arial"/>
          <w:sz w:val="20"/>
          <w:szCs w:val="20"/>
        </w:rPr>
        <w:t xml:space="preserve"> a fin de facilitar que otros sujetos obligados puedan alcanzar el mismo resultado en las próximas evaluaciones. </w:t>
      </w:r>
    </w:p>
    <w:p w14:paraId="7BE9DAD5" w14:textId="77777777" w:rsidR="00391994" w:rsidRPr="00A956B7" w:rsidRDefault="00391994" w:rsidP="00391994">
      <w:pPr>
        <w:pStyle w:val="Prrafodelista"/>
        <w:numPr>
          <w:ilvl w:val="0"/>
          <w:numId w:val="27"/>
        </w:numPr>
        <w:spacing w:line="360" w:lineRule="auto"/>
        <w:jc w:val="both"/>
        <w:rPr>
          <w:rFonts w:ascii="Arial" w:hAnsi="Arial" w:cs="Arial"/>
          <w:sz w:val="20"/>
          <w:szCs w:val="20"/>
        </w:rPr>
      </w:pPr>
      <w:r w:rsidRPr="00A956B7">
        <w:rPr>
          <w:rFonts w:ascii="Arial" w:hAnsi="Arial" w:cs="Arial"/>
          <w:sz w:val="20"/>
          <w:szCs w:val="20"/>
        </w:rPr>
        <w:lastRenderedPageBreak/>
        <w:t xml:space="preserve">Las áreas de oportunidad que fueron identificadas durante la primera y segunda evaluación serán impactadas en la armonización de los Lineamientos y Metodología de Evaluación que emitirá el Instituto durante el cuarto trimestre del año. </w:t>
      </w:r>
    </w:p>
    <w:p w14:paraId="557D0FF1" w14:textId="77777777" w:rsidR="00391994" w:rsidRPr="00A956B7" w:rsidRDefault="00391994" w:rsidP="00391994">
      <w:pPr>
        <w:rPr>
          <w:sz w:val="20"/>
          <w:szCs w:val="20"/>
        </w:rPr>
      </w:pPr>
    </w:p>
    <w:p w14:paraId="39D9866A" w14:textId="77777777" w:rsidR="00F87336" w:rsidRPr="00A956B7" w:rsidRDefault="00F87336" w:rsidP="00170B20">
      <w:pPr>
        <w:spacing w:after="0" w:line="240" w:lineRule="auto"/>
        <w:jc w:val="both"/>
        <w:rPr>
          <w:sz w:val="20"/>
          <w:szCs w:val="20"/>
        </w:rPr>
      </w:pPr>
    </w:p>
    <w:p w14:paraId="69065FA1" w14:textId="77777777" w:rsidR="007C1E08" w:rsidRPr="00A956B7" w:rsidRDefault="007C1E08" w:rsidP="00170B20">
      <w:pPr>
        <w:spacing w:after="0" w:line="240" w:lineRule="auto"/>
        <w:jc w:val="both"/>
        <w:rPr>
          <w:sz w:val="20"/>
          <w:szCs w:val="20"/>
        </w:rPr>
      </w:pPr>
    </w:p>
    <w:p w14:paraId="348F9C80" w14:textId="1ED03498" w:rsidR="00A84783" w:rsidRPr="00A956B7" w:rsidRDefault="00A84783">
      <w:pPr>
        <w:rPr>
          <w:sz w:val="20"/>
          <w:szCs w:val="20"/>
        </w:rPr>
      </w:pPr>
      <w:r w:rsidRPr="00A956B7">
        <w:rPr>
          <w:sz w:val="20"/>
          <w:szCs w:val="20"/>
        </w:rPr>
        <w:br w:type="page"/>
      </w:r>
    </w:p>
    <w:p w14:paraId="6F9EDD5A" w14:textId="77777777" w:rsidR="00A84783" w:rsidRPr="00A956B7" w:rsidRDefault="00A84783" w:rsidP="00A84783">
      <w:pPr>
        <w:spacing w:after="0" w:line="240" w:lineRule="auto"/>
        <w:jc w:val="center"/>
        <w:rPr>
          <w:b/>
          <w:bCs/>
          <w:sz w:val="24"/>
          <w:szCs w:val="24"/>
          <w:lang w:val="es-MX"/>
        </w:rPr>
      </w:pPr>
      <w:r w:rsidRPr="00A956B7">
        <w:rPr>
          <w:b/>
          <w:bCs/>
          <w:sz w:val="24"/>
          <w:szCs w:val="24"/>
        </w:rPr>
        <w:lastRenderedPageBreak/>
        <w:t>Resultados de la Segunda Evaluación Vinculante 2019, respecto del primer semestre del ejercicio 2019, sobre los 35 sujetos obligados incorporados al Padrón</w:t>
      </w:r>
    </w:p>
    <w:p w14:paraId="3C9EA6BA" w14:textId="77777777" w:rsidR="00A84783" w:rsidRPr="00A956B7" w:rsidRDefault="00A84783" w:rsidP="00A84783">
      <w:pPr>
        <w:spacing w:after="0" w:line="240" w:lineRule="auto"/>
        <w:jc w:val="both"/>
        <w:rPr>
          <w:sz w:val="24"/>
          <w:szCs w:val="24"/>
        </w:rPr>
      </w:pPr>
    </w:p>
    <w:tbl>
      <w:tblPr>
        <w:tblW w:w="9634" w:type="dxa"/>
        <w:tblCellMar>
          <w:left w:w="70" w:type="dxa"/>
          <w:right w:w="70" w:type="dxa"/>
        </w:tblCellMar>
        <w:tblLook w:val="04A0" w:firstRow="1" w:lastRow="0" w:firstColumn="1" w:lastColumn="0" w:noHBand="0" w:noVBand="1"/>
      </w:tblPr>
      <w:tblGrid>
        <w:gridCol w:w="1271"/>
        <w:gridCol w:w="5812"/>
        <w:gridCol w:w="2551"/>
      </w:tblGrid>
      <w:tr w:rsidR="00A31BD5" w:rsidRPr="00A956B7" w14:paraId="257851BC" w14:textId="77777777" w:rsidTr="00BD00D8">
        <w:trPr>
          <w:trHeight w:val="960"/>
        </w:trPr>
        <w:tc>
          <w:tcPr>
            <w:tcW w:w="1271"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3C443420"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No.</w:t>
            </w:r>
          </w:p>
        </w:tc>
        <w:tc>
          <w:tcPr>
            <w:tcW w:w="5812" w:type="dxa"/>
            <w:tcBorders>
              <w:top w:val="single" w:sz="4" w:space="0" w:color="auto"/>
              <w:left w:val="nil"/>
              <w:bottom w:val="single" w:sz="4" w:space="0" w:color="auto"/>
              <w:right w:val="single" w:sz="4" w:space="0" w:color="auto"/>
            </w:tcBorders>
            <w:shd w:val="clear" w:color="auto" w:fill="33CCCC"/>
            <w:noWrap/>
            <w:vAlign w:val="center"/>
            <w:hideMark/>
          </w:tcPr>
          <w:p w14:paraId="1F907131"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Denominación del Sujeto Obligado</w:t>
            </w:r>
          </w:p>
        </w:tc>
        <w:tc>
          <w:tcPr>
            <w:tcW w:w="2551" w:type="dxa"/>
            <w:tcBorders>
              <w:top w:val="single" w:sz="4" w:space="0" w:color="auto"/>
              <w:left w:val="nil"/>
              <w:bottom w:val="single" w:sz="4" w:space="0" w:color="auto"/>
              <w:right w:val="single" w:sz="4" w:space="0" w:color="auto"/>
            </w:tcBorders>
            <w:shd w:val="clear" w:color="000000" w:fill="33CCCC"/>
            <w:vAlign w:val="center"/>
            <w:hideMark/>
          </w:tcPr>
          <w:p w14:paraId="035315CF"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IGOT</w:t>
            </w:r>
            <w:r w:rsidRPr="00A956B7">
              <w:rPr>
                <w:rFonts w:ascii="Arial" w:eastAsia="Times New Roman" w:hAnsi="Arial" w:cs="Arial"/>
                <w:b/>
                <w:bCs/>
                <w:color w:val="000000"/>
                <w:sz w:val="16"/>
                <w:szCs w:val="16"/>
                <w:lang w:val="es-MX" w:eastAsia="es-ES_tradnl"/>
              </w:rPr>
              <w:br/>
              <w:t>(Índice General de Cumplimiento de Obligaciones de Transparencia)</w:t>
            </w:r>
            <w:r w:rsidRPr="00A956B7">
              <w:rPr>
                <w:rFonts w:ascii="Arial" w:eastAsia="Times New Roman" w:hAnsi="Arial" w:cs="Arial"/>
                <w:b/>
                <w:bCs/>
                <w:color w:val="000000"/>
                <w:sz w:val="16"/>
                <w:szCs w:val="16"/>
                <w:lang w:val="es-MX" w:eastAsia="es-ES_tradnl"/>
              </w:rPr>
              <w:br/>
              <w:t>2019</w:t>
            </w:r>
          </w:p>
        </w:tc>
      </w:tr>
      <w:tr w:rsidR="00A31BD5" w:rsidRPr="00A956B7" w14:paraId="3B72ED4D" w14:textId="77777777" w:rsidTr="00BD00D8">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14:paraId="13E4613C"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Poder Ejecutivo - Administración Pública Central</w:t>
            </w:r>
          </w:p>
        </w:tc>
      </w:tr>
      <w:tr w:rsidR="00A31BD5" w:rsidRPr="00A956B7" w14:paraId="0C9C100E" w14:textId="77777777" w:rsidTr="00BD00D8">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666C8"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67A1EF41"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Administración y Finanzas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A648055"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5DFC031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A208E0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w:t>
            </w:r>
          </w:p>
        </w:tc>
        <w:tc>
          <w:tcPr>
            <w:tcW w:w="5812" w:type="dxa"/>
            <w:tcBorders>
              <w:top w:val="nil"/>
              <w:left w:val="nil"/>
              <w:bottom w:val="single" w:sz="4" w:space="0" w:color="auto"/>
              <w:right w:val="single" w:sz="4" w:space="0" w:color="auto"/>
            </w:tcBorders>
            <w:shd w:val="clear" w:color="000000" w:fill="FFFFFF"/>
            <w:noWrap/>
            <w:vAlign w:val="center"/>
            <w:hideMark/>
          </w:tcPr>
          <w:p w14:paraId="2DF56B1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 xml:space="preserve">Secretaría de la Contraloría General </w:t>
            </w:r>
          </w:p>
        </w:tc>
        <w:tc>
          <w:tcPr>
            <w:tcW w:w="2551" w:type="dxa"/>
            <w:tcBorders>
              <w:top w:val="nil"/>
              <w:left w:val="nil"/>
              <w:bottom w:val="single" w:sz="4" w:space="0" w:color="auto"/>
              <w:right w:val="single" w:sz="4" w:space="0" w:color="auto"/>
            </w:tcBorders>
            <w:shd w:val="clear" w:color="auto" w:fill="auto"/>
            <w:vAlign w:val="center"/>
            <w:hideMark/>
          </w:tcPr>
          <w:p w14:paraId="3B198B2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450C6A2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80EDAAD"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w:t>
            </w:r>
          </w:p>
        </w:tc>
        <w:tc>
          <w:tcPr>
            <w:tcW w:w="5812" w:type="dxa"/>
            <w:tcBorders>
              <w:top w:val="nil"/>
              <w:left w:val="nil"/>
              <w:bottom w:val="single" w:sz="4" w:space="0" w:color="auto"/>
              <w:right w:val="single" w:sz="4" w:space="0" w:color="auto"/>
            </w:tcBorders>
            <w:shd w:val="clear" w:color="000000" w:fill="FFFFFF"/>
            <w:noWrap/>
            <w:vAlign w:val="center"/>
            <w:hideMark/>
          </w:tcPr>
          <w:p w14:paraId="5CE7F277"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Seguridad Ciudadana</w:t>
            </w:r>
          </w:p>
        </w:tc>
        <w:tc>
          <w:tcPr>
            <w:tcW w:w="2551" w:type="dxa"/>
            <w:tcBorders>
              <w:top w:val="nil"/>
              <w:left w:val="nil"/>
              <w:bottom w:val="single" w:sz="4" w:space="0" w:color="auto"/>
              <w:right w:val="single" w:sz="4" w:space="0" w:color="auto"/>
            </w:tcBorders>
            <w:shd w:val="clear" w:color="auto" w:fill="auto"/>
            <w:vAlign w:val="center"/>
            <w:hideMark/>
          </w:tcPr>
          <w:p w14:paraId="494DB458"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443F049D"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850963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4</w:t>
            </w:r>
          </w:p>
        </w:tc>
        <w:tc>
          <w:tcPr>
            <w:tcW w:w="5812" w:type="dxa"/>
            <w:tcBorders>
              <w:top w:val="nil"/>
              <w:left w:val="nil"/>
              <w:bottom w:val="single" w:sz="4" w:space="0" w:color="auto"/>
              <w:right w:val="single" w:sz="4" w:space="0" w:color="auto"/>
            </w:tcBorders>
            <w:shd w:val="clear" w:color="000000" w:fill="FFFFFF"/>
            <w:noWrap/>
            <w:vAlign w:val="center"/>
            <w:hideMark/>
          </w:tcPr>
          <w:p w14:paraId="169F52C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Inclusión y Bienestar Social</w:t>
            </w:r>
          </w:p>
        </w:tc>
        <w:tc>
          <w:tcPr>
            <w:tcW w:w="2551" w:type="dxa"/>
            <w:tcBorders>
              <w:top w:val="nil"/>
              <w:left w:val="nil"/>
              <w:bottom w:val="single" w:sz="4" w:space="0" w:color="auto"/>
              <w:right w:val="single" w:sz="4" w:space="0" w:color="auto"/>
            </w:tcBorders>
            <w:shd w:val="clear" w:color="auto" w:fill="auto"/>
            <w:vAlign w:val="center"/>
            <w:hideMark/>
          </w:tcPr>
          <w:p w14:paraId="7936BEB4"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724A1FFE"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0A0D36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5</w:t>
            </w:r>
          </w:p>
        </w:tc>
        <w:tc>
          <w:tcPr>
            <w:tcW w:w="5812" w:type="dxa"/>
            <w:tcBorders>
              <w:top w:val="nil"/>
              <w:left w:val="nil"/>
              <w:bottom w:val="single" w:sz="4" w:space="0" w:color="auto"/>
              <w:right w:val="single" w:sz="4" w:space="0" w:color="auto"/>
            </w:tcBorders>
            <w:shd w:val="clear" w:color="000000" w:fill="FFFFFF"/>
            <w:noWrap/>
            <w:vAlign w:val="center"/>
            <w:hideMark/>
          </w:tcPr>
          <w:p w14:paraId="74D9E9A1"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Educación, Ciencia, Tecnología e Innovación</w:t>
            </w:r>
          </w:p>
        </w:tc>
        <w:tc>
          <w:tcPr>
            <w:tcW w:w="2551" w:type="dxa"/>
            <w:tcBorders>
              <w:top w:val="nil"/>
              <w:left w:val="nil"/>
              <w:bottom w:val="single" w:sz="4" w:space="0" w:color="auto"/>
              <w:right w:val="single" w:sz="4" w:space="0" w:color="auto"/>
            </w:tcBorders>
            <w:shd w:val="clear" w:color="auto" w:fill="auto"/>
            <w:vAlign w:val="center"/>
            <w:hideMark/>
          </w:tcPr>
          <w:p w14:paraId="66E4CAEF"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98.92</w:t>
            </w:r>
          </w:p>
        </w:tc>
      </w:tr>
      <w:tr w:rsidR="00A31BD5" w:rsidRPr="00A956B7" w14:paraId="423A18B0"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0BA4611"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6</w:t>
            </w:r>
          </w:p>
        </w:tc>
        <w:tc>
          <w:tcPr>
            <w:tcW w:w="5812" w:type="dxa"/>
            <w:tcBorders>
              <w:top w:val="nil"/>
              <w:left w:val="nil"/>
              <w:bottom w:val="single" w:sz="4" w:space="0" w:color="auto"/>
              <w:right w:val="single" w:sz="4" w:space="0" w:color="auto"/>
            </w:tcBorders>
            <w:shd w:val="clear" w:color="000000" w:fill="FFFFFF"/>
            <w:noWrap/>
            <w:vAlign w:val="center"/>
            <w:hideMark/>
          </w:tcPr>
          <w:p w14:paraId="251EB825"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las Mujeres</w:t>
            </w:r>
          </w:p>
        </w:tc>
        <w:tc>
          <w:tcPr>
            <w:tcW w:w="2551" w:type="dxa"/>
            <w:tcBorders>
              <w:top w:val="nil"/>
              <w:left w:val="nil"/>
              <w:bottom w:val="single" w:sz="4" w:space="0" w:color="auto"/>
              <w:right w:val="single" w:sz="4" w:space="0" w:color="auto"/>
            </w:tcBorders>
            <w:shd w:val="clear" w:color="auto" w:fill="auto"/>
            <w:vAlign w:val="center"/>
            <w:hideMark/>
          </w:tcPr>
          <w:p w14:paraId="268B1F3C"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91.90</w:t>
            </w:r>
          </w:p>
        </w:tc>
      </w:tr>
      <w:tr w:rsidR="00A31BD5" w:rsidRPr="00A956B7" w14:paraId="5405C32D"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9D1F44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7</w:t>
            </w:r>
          </w:p>
        </w:tc>
        <w:tc>
          <w:tcPr>
            <w:tcW w:w="5812" w:type="dxa"/>
            <w:tcBorders>
              <w:top w:val="nil"/>
              <w:left w:val="nil"/>
              <w:bottom w:val="single" w:sz="4" w:space="0" w:color="auto"/>
              <w:right w:val="single" w:sz="4" w:space="0" w:color="auto"/>
            </w:tcBorders>
            <w:shd w:val="clear" w:color="000000" w:fill="FFFFFF"/>
            <w:noWrap/>
            <w:vAlign w:val="center"/>
            <w:hideMark/>
          </w:tcPr>
          <w:p w14:paraId="16940CB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Gestión Integral de Riesgos y Protección Civil</w:t>
            </w:r>
          </w:p>
        </w:tc>
        <w:tc>
          <w:tcPr>
            <w:tcW w:w="2551" w:type="dxa"/>
            <w:tcBorders>
              <w:top w:val="nil"/>
              <w:left w:val="nil"/>
              <w:bottom w:val="single" w:sz="4" w:space="0" w:color="auto"/>
              <w:right w:val="single" w:sz="4" w:space="0" w:color="auto"/>
            </w:tcBorders>
            <w:shd w:val="clear" w:color="auto" w:fill="auto"/>
            <w:vAlign w:val="center"/>
            <w:hideMark/>
          </w:tcPr>
          <w:p w14:paraId="48B7F383"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90.18</w:t>
            </w:r>
          </w:p>
        </w:tc>
      </w:tr>
      <w:tr w:rsidR="00A31BD5" w:rsidRPr="00A956B7" w14:paraId="214D9611"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7C1D865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w:t>
            </w:r>
          </w:p>
        </w:tc>
        <w:tc>
          <w:tcPr>
            <w:tcW w:w="5812" w:type="dxa"/>
            <w:tcBorders>
              <w:top w:val="nil"/>
              <w:left w:val="nil"/>
              <w:bottom w:val="single" w:sz="4" w:space="0" w:color="auto"/>
              <w:right w:val="single" w:sz="4" w:space="0" w:color="auto"/>
            </w:tcBorders>
            <w:shd w:val="clear" w:color="auto" w:fill="auto"/>
            <w:noWrap/>
            <w:vAlign w:val="center"/>
            <w:hideMark/>
          </w:tcPr>
          <w:p w14:paraId="13B78E27"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Secretaría de Pueblos y Barrios Originarios y Comunidades Indígenas Residentes</w:t>
            </w:r>
          </w:p>
        </w:tc>
        <w:tc>
          <w:tcPr>
            <w:tcW w:w="2551" w:type="dxa"/>
            <w:tcBorders>
              <w:top w:val="nil"/>
              <w:left w:val="nil"/>
              <w:bottom w:val="single" w:sz="4" w:space="0" w:color="auto"/>
              <w:right w:val="single" w:sz="4" w:space="0" w:color="auto"/>
            </w:tcBorders>
            <w:shd w:val="clear" w:color="auto" w:fill="auto"/>
            <w:vAlign w:val="center"/>
            <w:hideMark/>
          </w:tcPr>
          <w:p w14:paraId="03D519DB"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88.84</w:t>
            </w:r>
          </w:p>
        </w:tc>
      </w:tr>
      <w:tr w:rsidR="00A31BD5" w:rsidRPr="00A956B7" w14:paraId="0B9E36BD" w14:textId="77777777" w:rsidTr="00BD00D8">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3882C3CC"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Poder Ejecutivo - Desconcentrados y Paraestatales</w:t>
            </w:r>
          </w:p>
        </w:tc>
      </w:tr>
      <w:tr w:rsidR="00A31BD5" w:rsidRPr="00A956B7" w14:paraId="30EF9AF1"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FA6AB07"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w:t>
            </w:r>
          </w:p>
        </w:tc>
        <w:tc>
          <w:tcPr>
            <w:tcW w:w="5812" w:type="dxa"/>
            <w:tcBorders>
              <w:top w:val="nil"/>
              <w:left w:val="nil"/>
              <w:bottom w:val="single" w:sz="4" w:space="0" w:color="auto"/>
              <w:right w:val="single" w:sz="4" w:space="0" w:color="auto"/>
            </w:tcBorders>
            <w:shd w:val="clear" w:color="000000" w:fill="FFFFFF"/>
            <w:noWrap/>
            <w:vAlign w:val="center"/>
            <w:hideMark/>
          </w:tcPr>
          <w:p w14:paraId="47FC187D"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Agencia Digital de Innovación Pública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2D44514C"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756A5604"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7317CA38"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w:t>
            </w:r>
          </w:p>
        </w:tc>
        <w:tc>
          <w:tcPr>
            <w:tcW w:w="5812" w:type="dxa"/>
            <w:tcBorders>
              <w:top w:val="nil"/>
              <w:left w:val="nil"/>
              <w:bottom w:val="single" w:sz="4" w:space="0" w:color="auto"/>
              <w:right w:val="single" w:sz="4" w:space="0" w:color="auto"/>
            </w:tcBorders>
            <w:shd w:val="clear" w:color="000000" w:fill="FFFFFF"/>
            <w:noWrap/>
            <w:vAlign w:val="center"/>
            <w:hideMark/>
          </w:tcPr>
          <w:p w14:paraId="72B5A8CC"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Agencia de Atención Animal</w:t>
            </w:r>
          </w:p>
        </w:tc>
        <w:tc>
          <w:tcPr>
            <w:tcW w:w="2551" w:type="dxa"/>
            <w:tcBorders>
              <w:top w:val="nil"/>
              <w:left w:val="nil"/>
              <w:bottom w:val="single" w:sz="4" w:space="0" w:color="auto"/>
              <w:right w:val="single" w:sz="4" w:space="0" w:color="auto"/>
            </w:tcBorders>
            <w:shd w:val="clear" w:color="auto" w:fill="auto"/>
            <w:vAlign w:val="center"/>
            <w:hideMark/>
          </w:tcPr>
          <w:p w14:paraId="3E198E0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89.57</w:t>
            </w:r>
          </w:p>
        </w:tc>
      </w:tr>
      <w:tr w:rsidR="00A31BD5" w:rsidRPr="00A956B7" w14:paraId="5C6D5F8F"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B72CF7E"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11</w:t>
            </w:r>
          </w:p>
        </w:tc>
        <w:tc>
          <w:tcPr>
            <w:tcW w:w="5812" w:type="dxa"/>
            <w:tcBorders>
              <w:top w:val="nil"/>
              <w:left w:val="nil"/>
              <w:bottom w:val="single" w:sz="4" w:space="0" w:color="auto"/>
              <w:right w:val="single" w:sz="4" w:space="0" w:color="auto"/>
            </w:tcBorders>
            <w:shd w:val="clear" w:color="000000" w:fill="FFFFFF"/>
            <w:noWrap/>
            <w:vAlign w:val="center"/>
            <w:hideMark/>
          </w:tcPr>
          <w:p w14:paraId="4E8EC7F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Órgano Regulador de Transporte</w:t>
            </w:r>
          </w:p>
        </w:tc>
        <w:tc>
          <w:tcPr>
            <w:tcW w:w="2551" w:type="dxa"/>
            <w:tcBorders>
              <w:top w:val="nil"/>
              <w:left w:val="nil"/>
              <w:bottom w:val="single" w:sz="4" w:space="0" w:color="auto"/>
              <w:right w:val="single" w:sz="4" w:space="0" w:color="auto"/>
            </w:tcBorders>
            <w:shd w:val="clear" w:color="auto" w:fill="auto"/>
            <w:vAlign w:val="center"/>
            <w:hideMark/>
          </w:tcPr>
          <w:p w14:paraId="5699917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87.74</w:t>
            </w:r>
          </w:p>
        </w:tc>
      </w:tr>
      <w:tr w:rsidR="00A31BD5" w:rsidRPr="00A956B7" w14:paraId="776875BF"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AF7E409"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12</w:t>
            </w:r>
          </w:p>
        </w:tc>
        <w:tc>
          <w:tcPr>
            <w:tcW w:w="5812" w:type="dxa"/>
            <w:tcBorders>
              <w:top w:val="nil"/>
              <w:left w:val="nil"/>
              <w:bottom w:val="single" w:sz="4" w:space="0" w:color="auto"/>
              <w:right w:val="single" w:sz="4" w:space="0" w:color="auto"/>
            </w:tcBorders>
            <w:shd w:val="clear" w:color="000000" w:fill="FFFFFF"/>
            <w:noWrap/>
            <w:vAlign w:val="center"/>
            <w:hideMark/>
          </w:tcPr>
          <w:p w14:paraId="42F42D79"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Sistema Público de Radiodifusión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2C814CB5"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87.70</w:t>
            </w:r>
          </w:p>
        </w:tc>
      </w:tr>
      <w:tr w:rsidR="00A31BD5" w:rsidRPr="00A956B7" w14:paraId="5D2A55BA"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7D7A10DA"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13</w:t>
            </w:r>
          </w:p>
        </w:tc>
        <w:tc>
          <w:tcPr>
            <w:tcW w:w="5812" w:type="dxa"/>
            <w:tcBorders>
              <w:top w:val="nil"/>
              <w:left w:val="nil"/>
              <w:bottom w:val="single" w:sz="4" w:space="0" w:color="auto"/>
              <w:right w:val="single" w:sz="4" w:space="0" w:color="auto"/>
            </w:tcBorders>
            <w:shd w:val="clear" w:color="000000" w:fill="FFFFFF"/>
            <w:noWrap/>
            <w:vAlign w:val="center"/>
            <w:hideMark/>
          </w:tcPr>
          <w:p w14:paraId="4EE56DC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Red de Transporte Público de Pasajeros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52B0A157"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84.81</w:t>
            </w:r>
          </w:p>
        </w:tc>
      </w:tr>
      <w:tr w:rsidR="00A31BD5" w:rsidRPr="00A956B7" w14:paraId="00229C02"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C27B994"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14</w:t>
            </w:r>
          </w:p>
        </w:tc>
        <w:tc>
          <w:tcPr>
            <w:tcW w:w="5812" w:type="dxa"/>
            <w:tcBorders>
              <w:top w:val="nil"/>
              <w:left w:val="nil"/>
              <w:bottom w:val="single" w:sz="4" w:space="0" w:color="auto"/>
              <w:right w:val="single" w:sz="4" w:space="0" w:color="auto"/>
            </w:tcBorders>
            <w:shd w:val="clear" w:color="000000" w:fill="FFFFFF"/>
            <w:noWrap/>
            <w:vAlign w:val="center"/>
            <w:hideMark/>
          </w:tcPr>
          <w:p w14:paraId="5B074A04"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Régimen de Protección Social en Salud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41AF60D5"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42.27</w:t>
            </w:r>
          </w:p>
        </w:tc>
      </w:tr>
      <w:tr w:rsidR="00A31BD5" w:rsidRPr="00A956B7" w14:paraId="02F72634"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AC796EC"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15</w:t>
            </w:r>
          </w:p>
        </w:tc>
        <w:tc>
          <w:tcPr>
            <w:tcW w:w="5812" w:type="dxa"/>
            <w:tcBorders>
              <w:top w:val="nil"/>
              <w:left w:val="nil"/>
              <w:bottom w:val="single" w:sz="4" w:space="0" w:color="auto"/>
              <w:right w:val="single" w:sz="4" w:space="0" w:color="auto"/>
            </w:tcBorders>
            <w:shd w:val="clear" w:color="000000" w:fill="FFFFFF"/>
            <w:noWrap/>
            <w:vAlign w:val="center"/>
            <w:hideMark/>
          </w:tcPr>
          <w:p w14:paraId="65F5BD4A"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Planta Productora de Mezclas Asfálticas</w:t>
            </w:r>
          </w:p>
        </w:tc>
        <w:tc>
          <w:tcPr>
            <w:tcW w:w="2551" w:type="dxa"/>
            <w:tcBorders>
              <w:top w:val="nil"/>
              <w:left w:val="nil"/>
              <w:bottom w:val="single" w:sz="4" w:space="0" w:color="auto"/>
              <w:right w:val="single" w:sz="4" w:space="0" w:color="auto"/>
            </w:tcBorders>
            <w:shd w:val="clear" w:color="auto" w:fill="auto"/>
            <w:vAlign w:val="center"/>
            <w:hideMark/>
          </w:tcPr>
          <w:p w14:paraId="1F6BBB24"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33.93</w:t>
            </w:r>
          </w:p>
        </w:tc>
      </w:tr>
      <w:tr w:rsidR="00A31BD5" w:rsidRPr="00A956B7" w14:paraId="133629D9"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E814F5D"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16</w:t>
            </w:r>
          </w:p>
        </w:tc>
        <w:tc>
          <w:tcPr>
            <w:tcW w:w="5812" w:type="dxa"/>
            <w:tcBorders>
              <w:top w:val="nil"/>
              <w:left w:val="nil"/>
              <w:bottom w:val="single" w:sz="4" w:space="0" w:color="auto"/>
              <w:right w:val="single" w:sz="4" w:space="0" w:color="auto"/>
            </w:tcBorders>
            <w:shd w:val="clear" w:color="000000" w:fill="FFFFFF"/>
            <w:noWrap/>
            <w:vAlign w:val="center"/>
            <w:hideMark/>
          </w:tcPr>
          <w:p w14:paraId="21CE7EA7"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Fondo Público de Atención al Ciclista y al Peatón</w:t>
            </w:r>
          </w:p>
        </w:tc>
        <w:tc>
          <w:tcPr>
            <w:tcW w:w="2551" w:type="dxa"/>
            <w:tcBorders>
              <w:top w:val="nil"/>
              <w:left w:val="nil"/>
              <w:bottom w:val="single" w:sz="4" w:space="0" w:color="auto"/>
              <w:right w:val="single" w:sz="4" w:space="0" w:color="auto"/>
            </w:tcBorders>
            <w:shd w:val="clear" w:color="auto" w:fill="auto"/>
            <w:vAlign w:val="center"/>
            <w:hideMark/>
          </w:tcPr>
          <w:p w14:paraId="09DD8B5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7.71</w:t>
            </w:r>
          </w:p>
        </w:tc>
      </w:tr>
      <w:tr w:rsidR="00A31BD5" w:rsidRPr="00A956B7" w14:paraId="59875289" w14:textId="77777777" w:rsidTr="00BD00D8">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1FF01CA3"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Poder Ejecutivo - Demarcaciones Políticas</w:t>
            </w:r>
          </w:p>
        </w:tc>
      </w:tr>
      <w:tr w:rsidR="00A31BD5" w:rsidRPr="00A956B7" w14:paraId="3346C0FC"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77629E3"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17</w:t>
            </w:r>
          </w:p>
        </w:tc>
        <w:tc>
          <w:tcPr>
            <w:tcW w:w="5812" w:type="dxa"/>
            <w:tcBorders>
              <w:top w:val="nil"/>
              <w:left w:val="nil"/>
              <w:bottom w:val="single" w:sz="4" w:space="0" w:color="auto"/>
              <w:right w:val="single" w:sz="4" w:space="0" w:color="auto"/>
            </w:tcBorders>
            <w:shd w:val="clear" w:color="000000" w:fill="FFFFFF"/>
            <w:noWrap/>
            <w:vAlign w:val="center"/>
            <w:hideMark/>
          </w:tcPr>
          <w:p w14:paraId="4B31B451"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La Magdalena Contreras</w:t>
            </w:r>
          </w:p>
        </w:tc>
        <w:tc>
          <w:tcPr>
            <w:tcW w:w="2551" w:type="dxa"/>
            <w:tcBorders>
              <w:top w:val="nil"/>
              <w:left w:val="nil"/>
              <w:bottom w:val="single" w:sz="4" w:space="0" w:color="auto"/>
              <w:right w:val="single" w:sz="4" w:space="0" w:color="auto"/>
            </w:tcBorders>
            <w:shd w:val="clear" w:color="auto" w:fill="auto"/>
            <w:vAlign w:val="center"/>
            <w:hideMark/>
          </w:tcPr>
          <w:p w14:paraId="4CDF72DF"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69AE5BF8"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C665392"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18</w:t>
            </w:r>
          </w:p>
        </w:tc>
        <w:tc>
          <w:tcPr>
            <w:tcW w:w="5812" w:type="dxa"/>
            <w:tcBorders>
              <w:top w:val="nil"/>
              <w:left w:val="nil"/>
              <w:bottom w:val="single" w:sz="4" w:space="0" w:color="auto"/>
              <w:right w:val="single" w:sz="4" w:space="0" w:color="auto"/>
            </w:tcBorders>
            <w:shd w:val="clear" w:color="000000" w:fill="FFFFFF"/>
            <w:noWrap/>
            <w:vAlign w:val="center"/>
            <w:hideMark/>
          </w:tcPr>
          <w:p w14:paraId="3CA0E194"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Miguel Hidalgo</w:t>
            </w:r>
          </w:p>
        </w:tc>
        <w:tc>
          <w:tcPr>
            <w:tcW w:w="2551" w:type="dxa"/>
            <w:tcBorders>
              <w:top w:val="nil"/>
              <w:left w:val="nil"/>
              <w:bottom w:val="single" w:sz="4" w:space="0" w:color="auto"/>
              <w:right w:val="single" w:sz="4" w:space="0" w:color="auto"/>
            </w:tcBorders>
            <w:shd w:val="clear" w:color="auto" w:fill="auto"/>
            <w:vAlign w:val="center"/>
            <w:hideMark/>
          </w:tcPr>
          <w:p w14:paraId="02FAC6EE"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100</w:t>
            </w:r>
          </w:p>
        </w:tc>
      </w:tr>
      <w:tr w:rsidR="00A31BD5" w:rsidRPr="00A956B7" w14:paraId="4712E309"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10B2C2F"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19</w:t>
            </w:r>
          </w:p>
        </w:tc>
        <w:tc>
          <w:tcPr>
            <w:tcW w:w="5812" w:type="dxa"/>
            <w:tcBorders>
              <w:top w:val="nil"/>
              <w:left w:val="nil"/>
              <w:bottom w:val="single" w:sz="4" w:space="0" w:color="auto"/>
              <w:right w:val="single" w:sz="4" w:space="0" w:color="auto"/>
            </w:tcBorders>
            <w:shd w:val="clear" w:color="000000" w:fill="FFFFFF"/>
            <w:noWrap/>
            <w:vAlign w:val="center"/>
            <w:hideMark/>
          </w:tcPr>
          <w:p w14:paraId="04AAF7EC"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Venustiano Carranza</w:t>
            </w:r>
          </w:p>
        </w:tc>
        <w:tc>
          <w:tcPr>
            <w:tcW w:w="2551" w:type="dxa"/>
            <w:tcBorders>
              <w:top w:val="nil"/>
              <w:left w:val="nil"/>
              <w:bottom w:val="single" w:sz="4" w:space="0" w:color="auto"/>
              <w:right w:val="single" w:sz="4" w:space="0" w:color="auto"/>
            </w:tcBorders>
            <w:shd w:val="clear" w:color="auto" w:fill="auto"/>
            <w:vAlign w:val="center"/>
            <w:hideMark/>
          </w:tcPr>
          <w:p w14:paraId="2DF5BAFA"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99.47</w:t>
            </w:r>
          </w:p>
        </w:tc>
      </w:tr>
      <w:tr w:rsidR="00A31BD5" w:rsidRPr="00A956B7" w14:paraId="62B58E8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A9C9E6C"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20</w:t>
            </w:r>
          </w:p>
        </w:tc>
        <w:tc>
          <w:tcPr>
            <w:tcW w:w="5812" w:type="dxa"/>
            <w:tcBorders>
              <w:top w:val="nil"/>
              <w:left w:val="nil"/>
              <w:bottom w:val="single" w:sz="4" w:space="0" w:color="auto"/>
              <w:right w:val="single" w:sz="4" w:space="0" w:color="auto"/>
            </w:tcBorders>
            <w:shd w:val="clear" w:color="000000" w:fill="FFFFFF"/>
            <w:noWrap/>
            <w:vAlign w:val="center"/>
            <w:hideMark/>
          </w:tcPr>
          <w:p w14:paraId="25765A05"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Tláhuac</w:t>
            </w:r>
          </w:p>
        </w:tc>
        <w:tc>
          <w:tcPr>
            <w:tcW w:w="2551" w:type="dxa"/>
            <w:tcBorders>
              <w:top w:val="nil"/>
              <w:left w:val="nil"/>
              <w:bottom w:val="single" w:sz="4" w:space="0" w:color="auto"/>
              <w:right w:val="single" w:sz="4" w:space="0" w:color="auto"/>
            </w:tcBorders>
            <w:shd w:val="clear" w:color="auto" w:fill="auto"/>
            <w:vAlign w:val="center"/>
            <w:hideMark/>
          </w:tcPr>
          <w:p w14:paraId="486841EA"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99.12</w:t>
            </w:r>
          </w:p>
        </w:tc>
      </w:tr>
      <w:tr w:rsidR="00A31BD5" w:rsidRPr="00A956B7" w14:paraId="4DBB65B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A2935FE"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21</w:t>
            </w:r>
          </w:p>
        </w:tc>
        <w:tc>
          <w:tcPr>
            <w:tcW w:w="5812" w:type="dxa"/>
            <w:tcBorders>
              <w:top w:val="nil"/>
              <w:left w:val="nil"/>
              <w:bottom w:val="single" w:sz="4" w:space="0" w:color="auto"/>
              <w:right w:val="single" w:sz="4" w:space="0" w:color="auto"/>
            </w:tcBorders>
            <w:shd w:val="clear" w:color="000000" w:fill="FFFFFF"/>
            <w:noWrap/>
            <w:vAlign w:val="center"/>
            <w:hideMark/>
          </w:tcPr>
          <w:p w14:paraId="4A093B85"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Cuauhtémoc</w:t>
            </w:r>
          </w:p>
        </w:tc>
        <w:tc>
          <w:tcPr>
            <w:tcW w:w="2551" w:type="dxa"/>
            <w:tcBorders>
              <w:top w:val="nil"/>
              <w:left w:val="nil"/>
              <w:bottom w:val="single" w:sz="4" w:space="0" w:color="auto"/>
              <w:right w:val="single" w:sz="4" w:space="0" w:color="auto"/>
            </w:tcBorders>
            <w:shd w:val="clear" w:color="auto" w:fill="auto"/>
            <w:vAlign w:val="center"/>
            <w:hideMark/>
          </w:tcPr>
          <w:p w14:paraId="5F3D4CE2"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97.20</w:t>
            </w:r>
          </w:p>
        </w:tc>
      </w:tr>
      <w:tr w:rsidR="00A31BD5" w:rsidRPr="00A956B7" w14:paraId="26912FE8"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9395793"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22</w:t>
            </w:r>
          </w:p>
        </w:tc>
        <w:tc>
          <w:tcPr>
            <w:tcW w:w="5812" w:type="dxa"/>
            <w:tcBorders>
              <w:top w:val="nil"/>
              <w:left w:val="nil"/>
              <w:bottom w:val="single" w:sz="4" w:space="0" w:color="auto"/>
              <w:right w:val="single" w:sz="4" w:space="0" w:color="auto"/>
            </w:tcBorders>
            <w:shd w:val="clear" w:color="000000" w:fill="FFFFFF"/>
            <w:noWrap/>
            <w:vAlign w:val="center"/>
            <w:hideMark/>
          </w:tcPr>
          <w:p w14:paraId="17E16A30"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Iztapalapa</w:t>
            </w:r>
          </w:p>
        </w:tc>
        <w:tc>
          <w:tcPr>
            <w:tcW w:w="2551" w:type="dxa"/>
            <w:tcBorders>
              <w:top w:val="nil"/>
              <w:left w:val="nil"/>
              <w:bottom w:val="single" w:sz="4" w:space="0" w:color="auto"/>
              <w:right w:val="single" w:sz="4" w:space="0" w:color="auto"/>
            </w:tcBorders>
            <w:shd w:val="clear" w:color="auto" w:fill="auto"/>
            <w:vAlign w:val="center"/>
            <w:hideMark/>
          </w:tcPr>
          <w:p w14:paraId="3DB3675D"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91.71</w:t>
            </w:r>
          </w:p>
        </w:tc>
      </w:tr>
      <w:tr w:rsidR="00A31BD5" w:rsidRPr="00A956B7" w14:paraId="4B77A51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AE797F2"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23</w:t>
            </w:r>
          </w:p>
        </w:tc>
        <w:tc>
          <w:tcPr>
            <w:tcW w:w="5812" w:type="dxa"/>
            <w:tcBorders>
              <w:top w:val="nil"/>
              <w:left w:val="nil"/>
              <w:bottom w:val="single" w:sz="4" w:space="0" w:color="auto"/>
              <w:right w:val="single" w:sz="4" w:space="0" w:color="auto"/>
            </w:tcBorders>
            <w:shd w:val="clear" w:color="000000" w:fill="FFFFFF"/>
            <w:noWrap/>
            <w:vAlign w:val="center"/>
            <w:hideMark/>
          </w:tcPr>
          <w:p w14:paraId="11BCEF64"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Gustavo A Madero</w:t>
            </w:r>
          </w:p>
        </w:tc>
        <w:tc>
          <w:tcPr>
            <w:tcW w:w="2551" w:type="dxa"/>
            <w:tcBorders>
              <w:top w:val="nil"/>
              <w:left w:val="nil"/>
              <w:bottom w:val="single" w:sz="4" w:space="0" w:color="auto"/>
              <w:right w:val="single" w:sz="4" w:space="0" w:color="auto"/>
            </w:tcBorders>
            <w:shd w:val="clear" w:color="auto" w:fill="auto"/>
            <w:vAlign w:val="center"/>
            <w:hideMark/>
          </w:tcPr>
          <w:p w14:paraId="183885F4"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91.29</w:t>
            </w:r>
          </w:p>
        </w:tc>
      </w:tr>
      <w:tr w:rsidR="00A31BD5" w:rsidRPr="00A956B7" w14:paraId="60874FDC"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804B60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24</w:t>
            </w:r>
          </w:p>
        </w:tc>
        <w:tc>
          <w:tcPr>
            <w:tcW w:w="5812" w:type="dxa"/>
            <w:tcBorders>
              <w:top w:val="nil"/>
              <w:left w:val="nil"/>
              <w:bottom w:val="single" w:sz="4" w:space="0" w:color="auto"/>
              <w:right w:val="single" w:sz="4" w:space="0" w:color="auto"/>
            </w:tcBorders>
            <w:shd w:val="clear" w:color="000000" w:fill="FFFFFF"/>
            <w:noWrap/>
            <w:vAlign w:val="center"/>
            <w:hideMark/>
          </w:tcPr>
          <w:p w14:paraId="77C7E22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Azcapotzalco</w:t>
            </w:r>
          </w:p>
        </w:tc>
        <w:tc>
          <w:tcPr>
            <w:tcW w:w="2551" w:type="dxa"/>
            <w:tcBorders>
              <w:top w:val="nil"/>
              <w:left w:val="nil"/>
              <w:bottom w:val="single" w:sz="4" w:space="0" w:color="auto"/>
              <w:right w:val="single" w:sz="4" w:space="0" w:color="auto"/>
            </w:tcBorders>
            <w:shd w:val="clear" w:color="auto" w:fill="auto"/>
            <w:vAlign w:val="center"/>
            <w:hideMark/>
          </w:tcPr>
          <w:p w14:paraId="4A3B506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90.62</w:t>
            </w:r>
          </w:p>
        </w:tc>
      </w:tr>
      <w:tr w:rsidR="00A31BD5" w:rsidRPr="00A956B7" w14:paraId="0F6AE6C0"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20F94B9"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25</w:t>
            </w:r>
          </w:p>
        </w:tc>
        <w:tc>
          <w:tcPr>
            <w:tcW w:w="5812" w:type="dxa"/>
            <w:tcBorders>
              <w:top w:val="nil"/>
              <w:left w:val="nil"/>
              <w:bottom w:val="single" w:sz="4" w:space="0" w:color="auto"/>
              <w:right w:val="single" w:sz="4" w:space="0" w:color="auto"/>
            </w:tcBorders>
            <w:shd w:val="clear" w:color="000000" w:fill="FFFFFF"/>
            <w:noWrap/>
            <w:vAlign w:val="center"/>
            <w:hideMark/>
          </w:tcPr>
          <w:p w14:paraId="6AC942F7"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Milpa Alta</w:t>
            </w:r>
          </w:p>
        </w:tc>
        <w:tc>
          <w:tcPr>
            <w:tcW w:w="2551" w:type="dxa"/>
            <w:tcBorders>
              <w:top w:val="nil"/>
              <w:left w:val="nil"/>
              <w:bottom w:val="single" w:sz="4" w:space="0" w:color="auto"/>
              <w:right w:val="single" w:sz="4" w:space="0" w:color="auto"/>
            </w:tcBorders>
            <w:shd w:val="clear" w:color="auto" w:fill="auto"/>
            <w:vAlign w:val="center"/>
            <w:hideMark/>
          </w:tcPr>
          <w:p w14:paraId="461ADBB1"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89.05</w:t>
            </w:r>
          </w:p>
        </w:tc>
      </w:tr>
      <w:tr w:rsidR="00A31BD5" w:rsidRPr="00A956B7" w14:paraId="2CFACDC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323183D"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26</w:t>
            </w:r>
          </w:p>
        </w:tc>
        <w:tc>
          <w:tcPr>
            <w:tcW w:w="5812" w:type="dxa"/>
            <w:tcBorders>
              <w:top w:val="nil"/>
              <w:left w:val="nil"/>
              <w:bottom w:val="single" w:sz="4" w:space="0" w:color="auto"/>
              <w:right w:val="single" w:sz="4" w:space="0" w:color="auto"/>
            </w:tcBorders>
            <w:shd w:val="clear" w:color="000000" w:fill="FFFFFF"/>
            <w:noWrap/>
            <w:vAlign w:val="center"/>
            <w:hideMark/>
          </w:tcPr>
          <w:p w14:paraId="44659063"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Cuajimalpa de Morelos</w:t>
            </w:r>
          </w:p>
        </w:tc>
        <w:tc>
          <w:tcPr>
            <w:tcW w:w="2551" w:type="dxa"/>
            <w:tcBorders>
              <w:top w:val="nil"/>
              <w:left w:val="nil"/>
              <w:bottom w:val="single" w:sz="4" w:space="0" w:color="auto"/>
              <w:right w:val="single" w:sz="4" w:space="0" w:color="auto"/>
            </w:tcBorders>
            <w:shd w:val="clear" w:color="auto" w:fill="auto"/>
            <w:vAlign w:val="center"/>
            <w:hideMark/>
          </w:tcPr>
          <w:p w14:paraId="0760F099"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86.54</w:t>
            </w:r>
          </w:p>
        </w:tc>
      </w:tr>
      <w:tr w:rsidR="00A31BD5" w:rsidRPr="00A956B7" w14:paraId="30F100B6"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CB483D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27</w:t>
            </w:r>
          </w:p>
        </w:tc>
        <w:tc>
          <w:tcPr>
            <w:tcW w:w="5812" w:type="dxa"/>
            <w:tcBorders>
              <w:top w:val="nil"/>
              <w:left w:val="nil"/>
              <w:bottom w:val="single" w:sz="4" w:space="0" w:color="auto"/>
              <w:right w:val="single" w:sz="4" w:space="0" w:color="auto"/>
            </w:tcBorders>
            <w:shd w:val="clear" w:color="000000" w:fill="FFFFFF"/>
            <w:noWrap/>
            <w:vAlign w:val="center"/>
            <w:hideMark/>
          </w:tcPr>
          <w:p w14:paraId="24319177"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Tlalpan</w:t>
            </w:r>
          </w:p>
        </w:tc>
        <w:tc>
          <w:tcPr>
            <w:tcW w:w="2551" w:type="dxa"/>
            <w:tcBorders>
              <w:top w:val="nil"/>
              <w:left w:val="nil"/>
              <w:bottom w:val="single" w:sz="4" w:space="0" w:color="auto"/>
              <w:right w:val="single" w:sz="4" w:space="0" w:color="auto"/>
            </w:tcBorders>
            <w:shd w:val="clear" w:color="auto" w:fill="auto"/>
            <w:vAlign w:val="center"/>
            <w:hideMark/>
          </w:tcPr>
          <w:p w14:paraId="1CA63FF9"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85.06</w:t>
            </w:r>
          </w:p>
        </w:tc>
      </w:tr>
      <w:tr w:rsidR="00A31BD5" w:rsidRPr="00A956B7" w14:paraId="276C67C1"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8B50402"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28</w:t>
            </w:r>
          </w:p>
        </w:tc>
        <w:tc>
          <w:tcPr>
            <w:tcW w:w="5812" w:type="dxa"/>
            <w:tcBorders>
              <w:top w:val="nil"/>
              <w:left w:val="nil"/>
              <w:bottom w:val="single" w:sz="4" w:space="0" w:color="auto"/>
              <w:right w:val="single" w:sz="4" w:space="0" w:color="auto"/>
            </w:tcBorders>
            <w:shd w:val="clear" w:color="000000" w:fill="FFFFFF"/>
            <w:noWrap/>
            <w:vAlign w:val="center"/>
            <w:hideMark/>
          </w:tcPr>
          <w:p w14:paraId="43679BEA"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Iztacalco</w:t>
            </w:r>
          </w:p>
        </w:tc>
        <w:tc>
          <w:tcPr>
            <w:tcW w:w="2551" w:type="dxa"/>
            <w:tcBorders>
              <w:top w:val="nil"/>
              <w:left w:val="nil"/>
              <w:bottom w:val="single" w:sz="4" w:space="0" w:color="auto"/>
              <w:right w:val="single" w:sz="4" w:space="0" w:color="auto"/>
            </w:tcBorders>
            <w:shd w:val="clear" w:color="auto" w:fill="auto"/>
            <w:vAlign w:val="center"/>
            <w:hideMark/>
          </w:tcPr>
          <w:p w14:paraId="78D53C04"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84.06</w:t>
            </w:r>
          </w:p>
        </w:tc>
      </w:tr>
      <w:tr w:rsidR="00A31BD5" w:rsidRPr="00A956B7" w14:paraId="729DC363"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4D52C29"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29</w:t>
            </w:r>
          </w:p>
        </w:tc>
        <w:tc>
          <w:tcPr>
            <w:tcW w:w="5812" w:type="dxa"/>
            <w:tcBorders>
              <w:top w:val="nil"/>
              <w:left w:val="nil"/>
              <w:bottom w:val="single" w:sz="4" w:space="0" w:color="auto"/>
              <w:right w:val="single" w:sz="4" w:space="0" w:color="auto"/>
            </w:tcBorders>
            <w:shd w:val="clear" w:color="000000" w:fill="FFFFFF"/>
            <w:noWrap/>
            <w:vAlign w:val="center"/>
            <w:hideMark/>
          </w:tcPr>
          <w:p w14:paraId="010BDA98"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Álvaro Obregón</w:t>
            </w:r>
          </w:p>
        </w:tc>
        <w:tc>
          <w:tcPr>
            <w:tcW w:w="2551" w:type="dxa"/>
            <w:tcBorders>
              <w:top w:val="nil"/>
              <w:left w:val="nil"/>
              <w:bottom w:val="single" w:sz="4" w:space="0" w:color="auto"/>
              <w:right w:val="single" w:sz="4" w:space="0" w:color="auto"/>
            </w:tcBorders>
            <w:shd w:val="clear" w:color="auto" w:fill="auto"/>
            <w:vAlign w:val="center"/>
            <w:hideMark/>
          </w:tcPr>
          <w:p w14:paraId="3ECDA773"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83.96</w:t>
            </w:r>
          </w:p>
        </w:tc>
      </w:tr>
      <w:tr w:rsidR="00A31BD5" w:rsidRPr="00A956B7" w14:paraId="4C39315E"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95DA5C0"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30</w:t>
            </w:r>
          </w:p>
        </w:tc>
        <w:tc>
          <w:tcPr>
            <w:tcW w:w="5812" w:type="dxa"/>
            <w:tcBorders>
              <w:top w:val="nil"/>
              <w:left w:val="nil"/>
              <w:bottom w:val="single" w:sz="4" w:space="0" w:color="auto"/>
              <w:right w:val="single" w:sz="4" w:space="0" w:color="auto"/>
            </w:tcBorders>
            <w:shd w:val="clear" w:color="000000" w:fill="FFFFFF"/>
            <w:noWrap/>
            <w:vAlign w:val="center"/>
            <w:hideMark/>
          </w:tcPr>
          <w:p w14:paraId="08AC891A"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Benito Juárez</w:t>
            </w:r>
          </w:p>
        </w:tc>
        <w:tc>
          <w:tcPr>
            <w:tcW w:w="2551" w:type="dxa"/>
            <w:tcBorders>
              <w:top w:val="nil"/>
              <w:left w:val="nil"/>
              <w:bottom w:val="single" w:sz="4" w:space="0" w:color="auto"/>
              <w:right w:val="single" w:sz="4" w:space="0" w:color="auto"/>
            </w:tcBorders>
            <w:shd w:val="clear" w:color="auto" w:fill="auto"/>
            <w:vAlign w:val="center"/>
            <w:hideMark/>
          </w:tcPr>
          <w:p w14:paraId="5E144F75"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76.88</w:t>
            </w:r>
          </w:p>
        </w:tc>
      </w:tr>
      <w:tr w:rsidR="00A31BD5" w:rsidRPr="00A956B7" w14:paraId="187FC78C"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927B24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31</w:t>
            </w:r>
          </w:p>
        </w:tc>
        <w:tc>
          <w:tcPr>
            <w:tcW w:w="5812" w:type="dxa"/>
            <w:tcBorders>
              <w:top w:val="nil"/>
              <w:left w:val="nil"/>
              <w:bottom w:val="single" w:sz="4" w:space="0" w:color="auto"/>
              <w:right w:val="single" w:sz="4" w:space="0" w:color="auto"/>
            </w:tcBorders>
            <w:shd w:val="clear" w:color="000000" w:fill="FFFFFF"/>
            <w:noWrap/>
            <w:vAlign w:val="center"/>
            <w:hideMark/>
          </w:tcPr>
          <w:p w14:paraId="12EEFA14"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Coyoacán</w:t>
            </w:r>
          </w:p>
        </w:tc>
        <w:tc>
          <w:tcPr>
            <w:tcW w:w="2551" w:type="dxa"/>
            <w:tcBorders>
              <w:top w:val="nil"/>
              <w:left w:val="nil"/>
              <w:bottom w:val="single" w:sz="4" w:space="0" w:color="auto"/>
              <w:right w:val="single" w:sz="4" w:space="0" w:color="auto"/>
            </w:tcBorders>
            <w:shd w:val="clear" w:color="auto" w:fill="auto"/>
            <w:vAlign w:val="center"/>
            <w:hideMark/>
          </w:tcPr>
          <w:p w14:paraId="74FC9227"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68.91</w:t>
            </w:r>
          </w:p>
        </w:tc>
      </w:tr>
      <w:tr w:rsidR="00A31BD5" w:rsidRPr="00A956B7" w14:paraId="368F795C"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7917168E"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32</w:t>
            </w:r>
          </w:p>
        </w:tc>
        <w:tc>
          <w:tcPr>
            <w:tcW w:w="5812" w:type="dxa"/>
            <w:tcBorders>
              <w:top w:val="nil"/>
              <w:left w:val="nil"/>
              <w:bottom w:val="single" w:sz="4" w:space="0" w:color="auto"/>
              <w:right w:val="single" w:sz="4" w:space="0" w:color="auto"/>
            </w:tcBorders>
            <w:shd w:val="clear" w:color="000000" w:fill="FFFFFF"/>
            <w:noWrap/>
            <w:vAlign w:val="center"/>
            <w:hideMark/>
          </w:tcPr>
          <w:p w14:paraId="05C9377B"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Alcaldía Xochimilco</w:t>
            </w:r>
          </w:p>
        </w:tc>
        <w:tc>
          <w:tcPr>
            <w:tcW w:w="2551" w:type="dxa"/>
            <w:tcBorders>
              <w:top w:val="nil"/>
              <w:left w:val="nil"/>
              <w:bottom w:val="single" w:sz="4" w:space="0" w:color="auto"/>
              <w:right w:val="single" w:sz="4" w:space="0" w:color="auto"/>
            </w:tcBorders>
            <w:shd w:val="clear" w:color="auto" w:fill="auto"/>
            <w:vAlign w:val="center"/>
            <w:hideMark/>
          </w:tcPr>
          <w:p w14:paraId="136220C2"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62.39</w:t>
            </w:r>
          </w:p>
        </w:tc>
      </w:tr>
      <w:tr w:rsidR="00A31BD5" w:rsidRPr="00A956B7" w14:paraId="70F9DF22" w14:textId="77777777" w:rsidTr="00BD00D8">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392F91D1"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lastRenderedPageBreak/>
              <w:t>Órganos Autónomos</w:t>
            </w:r>
          </w:p>
        </w:tc>
      </w:tr>
      <w:tr w:rsidR="00A31BD5" w:rsidRPr="00A956B7" w14:paraId="5EB30EF8"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CF1FDE2"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33</w:t>
            </w:r>
          </w:p>
        </w:tc>
        <w:tc>
          <w:tcPr>
            <w:tcW w:w="5812" w:type="dxa"/>
            <w:tcBorders>
              <w:top w:val="nil"/>
              <w:left w:val="nil"/>
              <w:bottom w:val="single" w:sz="4" w:space="0" w:color="auto"/>
              <w:right w:val="single" w:sz="4" w:space="0" w:color="auto"/>
            </w:tcBorders>
            <w:shd w:val="clear" w:color="000000" w:fill="FFFFFF"/>
            <w:noWrap/>
            <w:vAlign w:val="center"/>
            <w:hideMark/>
          </w:tcPr>
          <w:p w14:paraId="2AA59B8C"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Instituto de Transparencia, Acceso a la Información Pública, Protección de Datos Personales y Rendición de Cuentas de la Ciudad de México</w:t>
            </w:r>
          </w:p>
        </w:tc>
        <w:tc>
          <w:tcPr>
            <w:tcW w:w="2551" w:type="dxa"/>
            <w:tcBorders>
              <w:top w:val="nil"/>
              <w:left w:val="nil"/>
              <w:bottom w:val="single" w:sz="4" w:space="0" w:color="auto"/>
              <w:right w:val="single" w:sz="4" w:space="0" w:color="auto"/>
            </w:tcBorders>
            <w:shd w:val="clear" w:color="000000" w:fill="FFFFFF"/>
            <w:vAlign w:val="center"/>
            <w:hideMark/>
          </w:tcPr>
          <w:p w14:paraId="2E4D1889"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96.24</w:t>
            </w:r>
          </w:p>
        </w:tc>
      </w:tr>
      <w:tr w:rsidR="00A31BD5" w:rsidRPr="00A956B7" w14:paraId="66B117E2" w14:textId="77777777" w:rsidTr="00BD00D8">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165219B6"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Poder Legislativo</w:t>
            </w:r>
          </w:p>
        </w:tc>
      </w:tr>
      <w:tr w:rsidR="00A31BD5" w:rsidRPr="00A956B7" w14:paraId="48A8B28C"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2EE1EDB"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34</w:t>
            </w:r>
          </w:p>
        </w:tc>
        <w:tc>
          <w:tcPr>
            <w:tcW w:w="5812" w:type="dxa"/>
            <w:tcBorders>
              <w:top w:val="nil"/>
              <w:left w:val="nil"/>
              <w:bottom w:val="single" w:sz="4" w:space="0" w:color="auto"/>
              <w:right w:val="single" w:sz="4" w:space="0" w:color="auto"/>
            </w:tcBorders>
            <w:shd w:val="clear" w:color="000000" w:fill="FFFFFF"/>
            <w:noWrap/>
            <w:vAlign w:val="center"/>
            <w:hideMark/>
          </w:tcPr>
          <w:p w14:paraId="742284A8"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Congreso de la Ciudad de México</w:t>
            </w:r>
          </w:p>
        </w:tc>
        <w:tc>
          <w:tcPr>
            <w:tcW w:w="2551" w:type="dxa"/>
            <w:tcBorders>
              <w:top w:val="nil"/>
              <w:left w:val="nil"/>
              <w:bottom w:val="single" w:sz="4" w:space="0" w:color="auto"/>
              <w:right w:val="single" w:sz="4" w:space="0" w:color="auto"/>
            </w:tcBorders>
            <w:shd w:val="clear" w:color="000000" w:fill="FFFFFF"/>
            <w:vAlign w:val="center"/>
            <w:hideMark/>
          </w:tcPr>
          <w:p w14:paraId="6B481DB6"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95.03</w:t>
            </w:r>
          </w:p>
        </w:tc>
      </w:tr>
      <w:tr w:rsidR="00A31BD5" w:rsidRPr="00A956B7" w14:paraId="6200E81C" w14:textId="77777777" w:rsidTr="00BD00D8">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0AD68033" w14:textId="77777777" w:rsidR="00A31BD5" w:rsidRPr="00A956B7" w:rsidRDefault="00A31BD5" w:rsidP="00BD00D8">
            <w:pPr>
              <w:spacing w:after="0" w:line="240" w:lineRule="auto"/>
              <w:jc w:val="center"/>
              <w:rPr>
                <w:rFonts w:ascii="Arial" w:eastAsia="Times New Roman" w:hAnsi="Arial" w:cs="Arial"/>
                <w:b/>
                <w:bCs/>
                <w:color w:val="000000"/>
                <w:sz w:val="16"/>
                <w:szCs w:val="16"/>
                <w:lang w:val="es-MX" w:eastAsia="es-ES_tradnl"/>
              </w:rPr>
            </w:pPr>
            <w:r w:rsidRPr="00A956B7">
              <w:rPr>
                <w:rFonts w:ascii="Arial" w:eastAsia="Times New Roman" w:hAnsi="Arial" w:cs="Arial"/>
                <w:b/>
                <w:bCs/>
                <w:color w:val="000000"/>
                <w:sz w:val="16"/>
                <w:szCs w:val="16"/>
                <w:lang w:val="es-MX" w:eastAsia="es-ES_tradnl"/>
              </w:rPr>
              <w:t>Sindicatos</w:t>
            </w:r>
          </w:p>
        </w:tc>
      </w:tr>
      <w:tr w:rsidR="00A31BD5" w:rsidRPr="00F0085D" w14:paraId="23A1EEDA" w14:textId="77777777" w:rsidTr="00BD00D8">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7D5743B" w14:textId="77777777" w:rsidR="00A31BD5" w:rsidRPr="00A956B7"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35</w:t>
            </w:r>
          </w:p>
        </w:tc>
        <w:tc>
          <w:tcPr>
            <w:tcW w:w="5812" w:type="dxa"/>
            <w:tcBorders>
              <w:top w:val="nil"/>
              <w:left w:val="nil"/>
              <w:bottom w:val="single" w:sz="4" w:space="0" w:color="auto"/>
              <w:right w:val="single" w:sz="4" w:space="0" w:color="auto"/>
            </w:tcBorders>
            <w:shd w:val="clear" w:color="000000" w:fill="FFFFFF"/>
            <w:noWrap/>
            <w:vAlign w:val="center"/>
            <w:hideMark/>
          </w:tcPr>
          <w:p w14:paraId="32D8D127" w14:textId="77777777" w:rsidR="00A31BD5" w:rsidRPr="00A956B7" w:rsidRDefault="00A31BD5" w:rsidP="00BD00D8">
            <w:pPr>
              <w:spacing w:after="0" w:line="240" w:lineRule="auto"/>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Sindicato de Trabajadores del Tribunal de Justicia Administrativa de la Ciudad de México</w:t>
            </w:r>
          </w:p>
        </w:tc>
        <w:tc>
          <w:tcPr>
            <w:tcW w:w="2551" w:type="dxa"/>
            <w:tcBorders>
              <w:top w:val="nil"/>
              <w:left w:val="nil"/>
              <w:bottom w:val="single" w:sz="4" w:space="0" w:color="auto"/>
              <w:right w:val="single" w:sz="4" w:space="0" w:color="auto"/>
            </w:tcBorders>
            <w:shd w:val="clear" w:color="000000" w:fill="FFFFFF"/>
            <w:vAlign w:val="center"/>
            <w:hideMark/>
          </w:tcPr>
          <w:p w14:paraId="42DC9737" w14:textId="77777777" w:rsidR="00A31BD5" w:rsidRPr="00F0085D" w:rsidRDefault="00A31BD5" w:rsidP="00BD00D8">
            <w:pPr>
              <w:spacing w:after="0" w:line="240" w:lineRule="auto"/>
              <w:jc w:val="center"/>
              <w:rPr>
                <w:rFonts w:ascii="Arial" w:eastAsia="Times New Roman" w:hAnsi="Arial" w:cs="Arial"/>
                <w:color w:val="000000"/>
                <w:sz w:val="16"/>
                <w:szCs w:val="16"/>
                <w:lang w:val="es-MX" w:eastAsia="es-ES_tradnl"/>
              </w:rPr>
            </w:pPr>
            <w:r w:rsidRPr="00A956B7">
              <w:rPr>
                <w:rFonts w:ascii="Arial" w:eastAsia="Times New Roman" w:hAnsi="Arial" w:cs="Arial"/>
                <w:color w:val="000000"/>
                <w:sz w:val="16"/>
                <w:szCs w:val="16"/>
                <w:lang w:val="es-MX" w:eastAsia="es-ES_tradnl"/>
              </w:rPr>
              <w:t>87.20</w:t>
            </w:r>
          </w:p>
        </w:tc>
      </w:tr>
    </w:tbl>
    <w:p w14:paraId="19371822" w14:textId="77777777" w:rsidR="00A84783" w:rsidRDefault="00A84783" w:rsidP="00A84783">
      <w:pPr>
        <w:spacing w:after="0" w:line="240" w:lineRule="auto"/>
        <w:jc w:val="both"/>
        <w:rPr>
          <w:sz w:val="24"/>
          <w:szCs w:val="24"/>
        </w:rPr>
      </w:pPr>
    </w:p>
    <w:p w14:paraId="71A58553" w14:textId="77777777" w:rsidR="00A84783" w:rsidRDefault="00A84783" w:rsidP="00A84783">
      <w:pPr>
        <w:spacing w:after="0" w:line="240" w:lineRule="auto"/>
        <w:jc w:val="both"/>
        <w:rPr>
          <w:sz w:val="24"/>
          <w:szCs w:val="24"/>
        </w:rPr>
      </w:pPr>
    </w:p>
    <w:p w14:paraId="347E62BE" w14:textId="77777777" w:rsidR="00141FAE" w:rsidRPr="00391994" w:rsidRDefault="00141FAE" w:rsidP="00F45632">
      <w:pPr>
        <w:spacing w:after="0" w:line="240" w:lineRule="auto"/>
        <w:jc w:val="both"/>
        <w:rPr>
          <w:sz w:val="20"/>
          <w:szCs w:val="20"/>
        </w:rPr>
      </w:pPr>
    </w:p>
    <w:sectPr w:rsidR="00141FAE" w:rsidRPr="00391994" w:rsidSect="00F4563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685F" w14:textId="77777777" w:rsidR="000E3CD4" w:rsidRDefault="000E3CD4" w:rsidP="00AC3ECE">
      <w:pPr>
        <w:spacing w:after="0" w:line="240" w:lineRule="auto"/>
      </w:pPr>
      <w:r>
        <w:separator/>
      </w:r>
    </w:p>
  </w:endnote>
  <w:endnote w:type="continuationSeparator" w:id="0">
    <w:p w14:paraId="32878CAE" w14:textId="77777777" w:rsidR="000E3CD4" w:rsidRDefault="000E3CD4" w:rsidP="00AC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3280" w14:textId="77777777" w:rsidR="00ED31EA" w:rsidRDefault="00ED31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3DE3" w14:textId="77777777" w:rsidR="00312C5A" w:rsidRPr="00614C23" w:rsidRDefault="00312C5A">
    <w:pPr>
      <w:pStyle w:val="Piedepgina"/>
      <w:jc w:val="center"/>
      <w:rPr>
        <w:caps/>
        <w:color w:val="385623" w:themeColor="accent6" w:themeShade="80"/>
      </w:rPr>
    </w:pPr>
    <w:r w:rsidRPr="00614C23">
      <w:rPr>
        <w:caps/>
        <w:color w:val="385623" w:themeColor="accent6" w:themeShade="80"/>
      </w:rPr>
      <w:fldChar w:fldCharType="begin"/>
    </w:r>
    <w:r w:rsidRPr="00614C23">
      <w:rPr>
        <w:caps/>
        <w:color w:val="385623" w:themeColor="accent6" w:themeShade="80"/>
      </w:rPr>
      <w:instrText>PAGE   \* MERGEFORMAT</w:instrText>
    </w:r>
    <w:r w:rsidRPr="00614C23">
      <w:rPr>
        <w:caps/>
        <w:color w:val="385623" w:themeColor="accent6" w:themeShade="80"/>
      </w:rPr>
      <w:fldChar w:fldCharType="separate"/>
    </w:r>
    <w:r w:rsidR="00802387" w:rsidRPr="00614C23">
      <w:rPr>
        <w:caps/>
        <w:noProof/>
        <w:color w:val="385623" w:themeColor="accent6" w:themeShade="80"/>
      </w:rPr>
      <w:t>1</w:t>
    </w:r>
    <w:r w:rsidRPr="00614C23">
      <w:rPr>
        <w:caps/>
        <w:color w:val="385623" w:themeColor="accent6" w:themeShade="80"/>
      </w:rPr>
      <w:fldChar w:fldCharType="end"/>
    </w:r>
  </w:p>
  <w:p w14:paraId="12700EBA" w14:textId="2E5E7F3F" w:rsidR="00312C5A" w:rsidRDefault="00312C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798" w14:textId="77777777" w:rsidR="00ED31EA" w:rsidRDefault="00ED31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4F49" w14:textId="77777777" w:rsidR="000E3CD4" w:rsidRDefault="000E3CD4" w:rsidP="00AC3ECE">
      <w:pPr>
        <w:spacing w:after="0" w:line="240" w:lineRule="auto"/>
      </w:pPr>
      <w:r>
        <w:separator/>
      </w:r>
    </w:p>
  </w:footnote>
  <w:footnote w:type="continuationSeparator" w:id="0">
    <w:p w14:paraId="0F060954" w14:textId="77777777" w:rsidR="000E3CD4" w:rsidRDefault="000E3CD4" w:rsidP="00AC3ECE">
      <w:pPr>
        <w:spacing w:after="0" w:line="240" w:lineRule="auto"/>
      </w:pPr>
      <w:r>
        <w:continuationSeparator/>
      </w:r>
    </w:p>
  </w:footnote>
  <w:footnote w:id="1">
    <w:p w14:paraId="1B71B832" w14:textId="77777777" w:rsidR="00750DF4" w:rsidRPr="00750DF4" w:rsidRDefault="00750DF4">
      <w:pPr>
        <w:pStyle w:val="Textonotapie"/>
      </w:pPr>
      <w:r>
        <w:rPr>
          <w:rStyle w:val="Refdenotaalpie"/>
        </w:rPr>
        <w:footnoteRef/>
      </w:r>
      <w:r>
        <w:t xml:space="preserve"> </w:t>
      </w:r>
      <w:r w:rsidRPr="0024281D">
        <w:rPr>
          <w:rFonts w:ascii="Arial" w:hAnsi="Arial" w:cs="Arial"/>
          <w:sz w:val="15"/>
          <w:szCs w:val="15"/>
        </w:rPr>
        <w:t>Secretaría de Administración y Finanzas, Secretaría de Gestión Integral de Riesgos y Protección Civil, Secretaría de la Contraloría General, Secretaría de Seguridad Ciudadana, Secretaría de Educación, Ciencia, Tecnología e Innovación, Secretaría de Inclusión y Bienestar Social, Secretaría de las Mujeres, Secretaría de Pueblos y Barrios Originarios y Comunidades Indígenas Residentes.</w:t>
      </w:r>
    </w:p>
  </w:footnote>
  <w:footnote w:id="2">
    <w:p w14:paraId="74B40A76" w14:textId="77777777" w:rsidR="00750DF4" w:rsidRPr="00750DF4" w:rsidRDefault="00750DF4">
      <w:pPr>
        <w:pStyle w:val="Textonotapie"/>
      </w:pPr>
      <w:r>
        <w:rPr>
          <w:rStyle w:val="Refdenotaalpie"/>
        </w:rPr>
        <w:footnoteRef/>
      </w:r>
      <w:r>
        <w:t xml:space="preserve"> </w:t>
      </w:r>
      <w:r w:rsidRPr="0024281D">
        <w:rPr>
          <w:rFonts w:ascii="Arial" w:hAnsi="Arial" w:cs="Arial"/>
          <w:sz w:val="15"/>
          <w:szCs w:val="15"/>
        </w:rPr>
        <w:t>Agencia de Atención Animal, Agencia Digital de Innovación Pública de la Ciudad de México, Órgano Regulador de Transporte, Planta Productora de Mezclas Asfálticas, Régimen de Protección Social en Salud de la Ciudad de México, Red de Transporte Público de Pasajeros de la Ciudad de México, Sistema Público de Radiodifusión de la Ciudad de México, Fondo Público de Atención al Ciclista y al Peatón.</w:t>
      </w:r>
    </w:p>
  </w:footnote>
  <w:footnote w:id="3">
    <w:p w14:paraId="3A0248D4" w14:textId="77777777" w:rsidR="00750DF4" w:rsidRPr="00750DF4" w:rsidRDefault="00750DF4">
      <w:pPr>
        <w:pStyle w:val="Textonotapie"/>
      </w:pPr>
      <w:r>
        <w:rPr>
          <w:rStyle w:val="Refdenotaalpie"/>
        </w:rPr>
        <w:footnoteRef/>
      </w:r>
      <w:r>
        <w:t xml:space="preserve"> </w:t>
      </w:r>
      <w:r w:rsidRPr="0024281D">
        <w:rPr>
          <w:rFonts w:ascii="Arial" w:hAnsi="Arial" w:cs="Arial"/>
          <w:sz w:val="15"/>
          <w:szCs w:val="15"/>
        </w:rPr>
        <w:t>Alcaldía Álvaro Obregón, Alcaldía Azcapotzalco, Alcaldía Benito Juárez, Alcaldía Coyoacán, Alcaldía Cuajimalpa de Morelos, Alcaldía Cuauhtémoc, Alcaldía Gustavo A Madero, Alcaldía Iztacalco, Alcaldía Iztapalapa, Alcaldía La Magdalena Contreras, Alcaldía Miguel Hidalgo, Alcaldía Milpa Alta, Alcaldía Tláhuac, Alcaldía Tlalpan, Alcaldía Venustiano Carranza, Alcaldía Xochimilco.</w:t>
      </w:r>
    </w:p>
  </w:footnote>
  <w:footnote w:id="4">
    <w:p w14:paraId="04B0BF84" w14:textId="77777777" w:rsidR="00750DF4" w:rsidRPr="00750DF4" w:rsidRDefault="00750DF4">
      <w:pPr>
        <w:pStyle w:val="Textonotapie"/>
      </w:pPr>
      <w:r>
        <w:rPr>
          <w:rStyle w:val="Refdenotaalpie"/>
        </w:rPr>
        <w:footnoteRef/>
      </w:r>
      <w:r>
        <w:t xml:space="preserve"> </w:t>
      </w:r>
      <w:r w:rsidRPr="0024281D">
        <w:rPr>
          <w:rFonts w:ascii="Arial" w:hAnsi="Arial" w:cs="Arial"/>
          <w:sz w:val="15"/>
          <w:szCs w:val="15"/>
        </w:rPr>
        <w:t>Congreso de la Ciudad de México.</w:t>
      </w:r>
    </w:p>
  </w:footnote>
  <w:footnote w:id="5">
    <w:p w14:paraId="0BAFDDE8" w14:textId="77777777" w:rsidR="00750DF4" w:rsidRPr="00750DF4" w:rsidRDefault="00750DF4">
      <w:pPr>
        <w:pStyle w:val="Textonotapie"/>
      </w:pPr>
      <w:r>
        <w:rPr>
          <w:rStyle w:val="Refdenotaalpie"/>
        </w:rPr>
        <w:footnoteRef/>
      </w:r>
      <w:r>
        <w:t xml:space="preserve"> </w:t>
      </w:r>
      <w:r w:rsidRPr="0024281D">
        <w:rPr>
          <w:rFonts w:ascii="Arial" w:hAnsi="Arial" w:cs="Arial"/>
          <w:sz w:val="15"/>
          <w:szCs w:val="15"/>
        </w:rPr>
        <w:t>Instituto de Transparencia, Acceso a la Información Pública, Protección de Datos Personales y Rendición de Cuentas de la Ciudad de México.</w:t>
      </w:r>
    </w:p>
  </w:footnote>
  <w:footnote w:id="6">
    <w:p w14:paraId="74E0D489" w14:textId="77777777" w:rsidR="00750DF4" w:rsidRPr="00750DF4" w:rsidRDefault="00750DF4">
      <w:pPr>
        <w:pStyle w:val="Textonotapie"/>
      </w:pPr>
      <w:r>
        <w:rPr>
          <w:rStyle w:val="Refdenotaalpie"/>
        </w:rPr>
        <w:footnoteRef/>
      </w:r>
      <w:r>
        <w:t xml:space="preserve"> </w:t>
      </w:r>
      <w:r w:rsidRPr="0024281D">
        <w:rPr>
          <w:rFonts w:ascii="Arial" w:hAnsi="Arial" w:cs="Arial"/>
          <w:sz w:val="15"/>
          <w:szCs w:val="15"/>
        </w:rPr>
        <w:t>Sindicato de Trabajadores del Tribunal de Justicia Administrativa de la Ciudad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E400" w14:textId="77777777" w:rsidR="00ED31EA" w:rsidRDefault="00ED31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5BF0" w14:textId="0FD49A90" w:rsidR="00ED31EA" w:rsidRDefault="00ED31EA" w:rsidP="00DF202D">
    <w:pPr>
      <w:ind w:right="-142"/>
      <w:jc w:val="right"/>
      <w:rPr>
        <w:rFonts w:ascii="Arial Black" w:hAnsi="Arial Black" w:cs="Arial"/>
        <w:color w:val="4597A1"/>
        <w:sz w:val="18"/>
        <w:szCs w:val="19"/>
        <w:lang w:val="es-MX"/>
      </w:rPr>
    </w:pPr>
    <w:bookmarkStart w:id="0" w:name="_GoBack"/>
    <w:bookmarkEnd w:id="0"/>
    <w:r w:rsidRPr="00614C23">
      <w:rPr>
        <w:rFonts w:ascii="Arial Black" w:hAnsi="Arial Black" w:cs="Arial"/>
        <w:noProof/>
        <w:color w:val="4597A1"/>
        <w:sz w:val="18"/>
        <w:szCs w:val="19"/>
        <w:lang w:val="es-MX"/>
      </w:rPr>
      <w:drawing>
        <wp:anchor distT="0" distB="0" distL="114300" distR="114300" simplePos="0" relativeHeight="251665408" behindDoc="1" locked="0" layoutInCell="1" allowOverlap="1" wp14:anchorId="31E78AF0" wp14:editId="7D2C7C59">
          <wp:simplePos x="0" y="0"/>
          <wp:positionH relativeFrom="column">
            <wp:posOffset>-906145</wp:posOffset>
          </wp:positionH>
          <wp:positionV relativeFrom="paragraph">
            <wp:posOffset>-465599</wp:posOffset>
          </wp:positionV>
          <wp:extent cx="7760396" cy="9029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60396" cy="902970"/>
                  </a:xfrm>
                  <a:prstGeom prst="rect">
                    <a:avLst/>
                  </a:prstGeom>
                </pic:spPr>
              </pic:pic>
            </a:graphicData>
          </a:graphic>
          <wp14:sizeRelH relativeFrom="page">
            <wp14:pctWidth>0</wp14:pctWidth>
          </wp14:sizeRelH>
          <wp14:sizeRelV relativeFrom="page">
            <wp14:pctHeight>0</wp14:pctHeight>
          </wp14:sizeRelV>
        </wp:anchor>
      </w:drawing>
    </w:r>
  </w:p>
  <w:p w14:paraId="212D7BFC" w14:textId="7D2BAE8F" w:rsidR="00C50C18" w:rsidRPr="00025088" w:rsidRDefault="00C50C18" w:rsidP="00DF202D">
    <w:pPr>
      <w:ind w:right="-142"/>
      <w:jc w:val="right"/>
      <w:rPr>
        <w:rFonts w:ascii="Arial Black" w:hAnsi="Arial Black" w:cs="Arial"/>
        <w:color w:val="4597A1"/>
        <w:sz w:val="18"/>
        <w:szCs w:val="19"/>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CA32" w14:textId="77777777" w:rsidR="00ED31EA" w:rsidRDefault="00ED31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5DD"/>
    <w:multiLevelType w:val="hybridMultilevel"/>
    <w:tmpl w:val="E4CABF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254B83"/>
    <w:multiLevelType w:val="hybridMultilevel"/>
    <w:tmpl w:val="3E88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83639"/>
    <w:multiLevelType w:val="hybridMultilevel"/>
    <w:tmpl w:val="B8089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C33BDB"/>
    <w:multiLevelType w:val="hybridMultilevel"/>
    <w:tmpl w:val="EB5A7F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C6537D3"/>
    <w:multiLevelType w:val="hybridMultilevel"/>
    <w:tmpl w:val="354ADF4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43014"/>
    <w:multiLevelType w:val="hybridMultilevel"/>
    <w:tmpl w:val="58A40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F0AF3"/>
    <w:multiLevelType w:val="hybridMultilevel"/>
    <w:tmpl w:val="643A6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A876CA"/>
    <w:multiLevelType w:val="hybridMultilevel"/>
    <w:tmpl w:val="CED686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C7D6E3E"/>
    <w:multiLevelType w:val="hybridMultilevel"/>
    <w:tmpl w:val="26D2BB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946BE8"/>
    <w:multiLevelType w:val="hybridMultilevel"/>
    <w:tmpl w:val="C1B00B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F157E36"/>
    <w:multiLevelType w:val="hybridMultilevel"/>
    <w:tmpl w:val="A642A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8F013B"/>
    <w:multiLevelType w:val="hybridMultilevel"/>
    <w:tmpl w:val="BFE8C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490D15"/>
    <w:multiLevelType w:val="hybridMultilevel"/>
    <w:tmpl w:val="0D2CD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390430"/>
    <w:multiLevelType w:val="hybridMultilevel"/>
    <w:tmpl w:val="A642A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51DD2"/>
    <w:multiLevelType w:val="hybridMultilevel"/>
    <w:tmpl w:val="92182C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D93FA4"/>
    <w:multiLevelType w:val="hybridMultilevel"/>
    <w:tmpl w:val="A642A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D6C11"/>
    <w:multiLevelType w:val="hybridMultilevel"/>
    <w:tmpl w:val="1416D04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37E694F"/>
    <w:multiLevelType w:val="hybridMultilevel"/>
    <w:tmpl w:val="0D2CD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87ECC"/>
    <w:multiLevelType w:val="hybridMultilevel"/>
    <w:tmpl w:val="0D2CD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1133F9"/>
    <w:multiLevelType w:val="hybridMultilevel"/>
    <w:tmpl w:val="0D2CD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F139B2"/>
    <w:multiLevelType w:val="hybridMultilevel"/>
    <w:tmpl w:val="60423EE6"/>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1" w15:restartNumberingAfterBreak="0">
    <w:nsid w:val="5E5A6BC6"/>
    <w:multiLevelType w:val="hybridMultilevel"/>
    <w:tmpl w:val="80663BE0"/>
    <w:lvl w:ilvl="0" w:tplc="3EFEECDE">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CD5E53"/>
    <w:multiLevelType w:val="hybridMultilevel"/>
    <w:tmpl w:val="B060F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8D09FF"/>
    <w:multiLevelType w:val="hybridMultilevel"/>
    <w:tmpl w:val="5650AD06"/>
    <w:lvl w:ilvl="0" w:tplc="EA1486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7C0E31"/>
    <w:multiLevelType w:val="hybridMultilevel"/>
    <w:tmpl w:val="1EB8CE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D82989"/>
    <w:multiLevelType w:val="hybridMultilevel"/>
    <w:tmpl w:val="6060ADD8"/>
    <w:lvl w:ilvl="0" w:tplc="EA14867C">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A50CC9"/>
    <w:multiLevelType w:val="hybridMultilevel"/>
    <w:tmpl w:val="0D2CD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834969"/>
    <w:multiLevelType w:val="hybridMultilevel"/>
    <w:tmpl w:val="2BDCF7B6"/>
    <w:lvl w:ilvl="0" w:tplc="EA1486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9"/>
  </w:num>
  <w:num w:numId="5">
    <w:abstractNumId w:val="3"/>
  </w:num>
  <w:num w:numId="6">
    <w:abstractNumId w:val="5"/>
  </w:num>
  <w:num w:numId="7">
    <w:abstractNumId w:val="11"/>
  </w:num>
  <w:num w:numId="8">
    <w:abstractNumId w:val="2"/>
  </w:num>
  <w:num w:numId="9">
    <w:abstractNumId w:val="14"/>
  </w:num>
  <w:num w:numId="10">
    <w:abstractNumId w:val="20"/>
  </w:num>
  <w:num w:numId="11">
    <w:abstractNumId w:val="8"/>
  </w:num>
  <w:num w:numId="12">
    <w:abstractNumId w:val="6"/>
  </w:num>
  <w:num w:numId="13">
    <w:abstractNumId w:val="21"/>
  </w:num>
  <w:num w:numId="14">
    <w:abstractNumId w:val="27"/>
  </w:num>
  <w:num w:numId="15">
    <w:abstractNumId w:val="23"/>
  </w:num>
  <w:num w:numId="16">
    <w:abstractNumId w:val="24"/>
  </w:num>
  <w:num w:numId="17">
    <w:abstractNumId w:val="12"/>
  </w:num>
  <w:num w:numId="18">
    <w:abstractNumId w:val="22"/>
  </w:num>
  <w:num w:numId="19">
    <w:abstractNumId w:val="1"/>
  </w:num>
  <w:num w:numId="20">
    <w:abstractNumId w:val="17"/>
  </w:num>
  <w:num w:numId="21">
    <w:abstractNumId w:val="18"/>
  </w:num>
  <w:num w:numId="22">
    <w:abstractNumId w:val="19"/>
  </w:num>
  <w:num w:numId="23">
    <w:abstractNumId w:val="26"/>
  </w:num>
  <w:num w:numId="24">
    <w:abstractNumId w:val="25"/>
  </w:num>
  <w:num w:numId="25">
    <w:abstractNumId w:val="4"/>
  </w:num>
  <w:num w:numId="26">
    <w:abstractNumId w:val="16"/>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94"/>
    <w:rsid w:val="00001A47"/>
    <w:rsid w:val="000164FD"/>
    <w:rsid w:val="00025088"/>
    <w:rsid w:val="00026A27"/>
    <w:rsid w:val="00046011"/>
    <w:rsid w:val="000621E0"/>
    <w:rsid w:val="000641DF"/>
    <w:rsid w:val="00064522"/>
    <w:rsid w:val="00080BFA"/>
    <w:rsid w:val="00082930"/>
    <w:rsid w:val="00084CE9"/>
    <w:rsid w:val="000A5401"/>
    <w:rsid w:val="000A5ECB"/>
    <w:rsid w:val="000C35C9"/>
    <w:rsid w:val="000C6996"/>
    <w:rsid w:val="000E3CD4"/>
    <w:rsid w:val="000F0384"/>
    <w:rsid w:val="00104FFF"/>
    <w:rsid w:val="00110A86"/>
    <w:rsid w:val="00122F46"/>
    <w:rsid w:val="00130A98"/>
    <w:rsid w:val="001352BA"/>
    <w:rsid w:val="001363F7"/>
    <w:rsid w:val="00141FAE"/>
    <w:rsid w:val="00155FBB"/>
    <w:rsid w:val="00170B20"/>
    <w:rsid w:val="001738A6"/>
    <w:rsid w:val="00173C4B"/>
    <w:rsid w:val="001770A3"/>
    <w:rsid w:val="0018098B"/>
    <w:rsid w:val="00182E5C"/>
    <w:rsid w:val="001D104C"/>
    <w:rsid w:val="001E42CD"/>
    <w:rsid w:val="001F48AD"/>
    <w:rsid w:val="001F58DE"/>
    <w:rsid w:val="001F6C47"/>
    <w:rsid w:val="00206B34"/>
    <w:rsid w:val="002151F8"/>
    <w:rsid w:val="00232384"/>
    <w:rsid w:val="00235766"/>
    <w:rsid w:val="00255E7A"/>
    <w:rsid w:val="00266626"/>
    <w:rsid w:val="002767FE"/>
    <w:rsid w:val="002828B3"/>
    <w:rsid w:val="0028527E"/>
    <w:rsid w:val="002B66EF"/>
    <w:rsid w:val="002B7B10"/>
    <w:rsid w:val="002C7BDB"/>
    <w:rsid w:val="003066D7"/>
    <w:rsid w:val="00312C5A"/>
    <w:rsid w:val="003272CB"/>
    <w:rsid w:val="00330367"/>
    <w:rsid w:val="00334A3B"/>
    <w:rsid w:val="00346DE3"/>
    <w:rsid w:val="00354B63"/>
    <w:rsid w:val="00356A01"/>
    <w:rsid w:val="00360AA1"/>
    <w:rsid w:val="00363192"/>
    <w:rsid w:val="00391994"/>
    <w:rsid w:val="003A1B51"/>
    <w:rsid w:val="003B6F5E"/>
    <w:rsid w:val="003D79B4"/>
    <w:rsid w:val="003E423A"/>
    <w:rsid w:val="003E5C30"/>
    <w:rsid w:val="003F16C4"/>
    <w:rsid w:val="00410C2A"/>
    <w:rsid w:val="00422E4D"/>
    <w:rsid w:val="0042327F"/>
    <w:rsid w:val="004529C9"/>
    <w:rsid w:val="004620E2"/>
    <w:rsid w:val="00472473"/>
    <w:rsid w:val="00472A59"/>
    <w:rsid w:val="00481B0C"/>
    <w:rsid w:val="00484842"/>
    <w:rsid w:val="004D3B5B"/>
    <w:rsid w:val="004E19D5"/>
    <w:rsid w:val="004E3FB2"/>
    <w:rsid w:val="004F02AC"/>
    <w:rsid w:val="00502702"/>
    <w:rsid w:val="0050391D"/>
    <w:rsid w:val="00504B31"/>
    <w:rsid w:val="00510042"/>
    <w:rsid w:val="00510F78"/>
    <w:rsid w:val="00512A76"/>
    <w:rsid w:val="00514890"/>
    <w:rsid w:val="00514D7C"/>
    <w:rsid w:val="005324E3"/>
    <w:rsid w:val="00546EE3"/>
    <w:rsid w:val="00552843"/>
    <w:rsid w:val="0055675D"/>
    <w:rsid w:val="005746BC"/>
    <w:rsid w:val="005C0106"/>
    <w:rsid w:val="005C752E"/>
    <w:rsid w:val="005E32BE"/>
    <w:rsid w:val="005E637D"/>
    <w:rsid w:val="00614C23"/>
    <w:rsid w:val="00627317"/>
    <w:rsid w:val="00637B44"/>
    <w:rsid w:val="0064124B"/>
    <w:rsid w:val="00647227"/>
    <w:rsid w:val="006578EF"/>
    <w:rsid w:val="00660767"/>
    <w:rsid w:val="00663723"/>
    <w:rsid w:val="006850CE"/>
    <w:rsid w:val="006939A3"/>
    <w:rsid w:val="006A25E4"/>
    <w:rsid w:val="006A383C"/>
    <w:rsid w:val="006B2568"/>
    <w:rsid w:val="006D073E"/>
    <w:rsid w:val="006E61FA"/>
    <w:rsid w:val="0070601C"/>
    <w:rsid w:val="007061FD"/>
    <w:rsid w:val="00726906"/>
    <w:rsid w:val="0073370A"/>
    <w:rsid w:val="00737514"/>
    <w:rsid w:val="0074148A"/>
    <w:rsid w:val="007435D7"/>
    <w:rsid w:val="00750DF4"/>
    <w:rsid w:val="0075127C"/>
    <w:rsid w:val="007730F5"/>
    <w:rsid w:val="00776A96"/>
    <w:rsid w:val="00777909"/>
    <w:rsid w:val="00781CAA"/>
    <w:rsid w:val="00782D87"/>
    <w:rsid w:val="007A7FAB"/>
    <w:rsid w:val="007B6D42"/>
    <w:rsid w:val="007C1E08"/>
    <w:rsid w:val="007C4053"/>
    <w:rsid w:val="007E1AA9"/>
    <w:rsid w:val="007E1C86"/>
    <w:rsid w:val="007E6691"/>
    <w:rsid w:val="007E6C3B"/>
    <w:rsid w:val="007E7839"/>
    <w:rsid w:val="007F4800"/>
    <w:rsid w:val="00802387"/>
    <w:rsid w:val="00821788"/>
    <w:rsid w:val="008225D3"/>
    <w:rsid w:val="00824A6F"/>
    <w:rsid w:val="0082603B"/>
    <w:rsid w:val="00827347"/>
    <w:rsid w:val="0083143A"/>
    <w:rsid w:val="00834A4F"/>
    <w:rsid w:val="00835BBB"/>
    <w:rsid w:val="00841C57"/>
    <w:rsid w:val="008478E4"/>
    <w:rsid w:val="00850E5B"/>
    <w:rsid w:val="00863B12"/>
    <w:rsid w:val="00865693"/>
    <w:rsid w:val="00880209"/>
    <w:rsid w:val="0088153D"/>
    <w:rsid w:val="00882FF2"/>
    <w:rsid w:val="0088353E"/>
    <w:rsid w:val="00893AF7"/>
    <w:rsid w:val="008A4A18"/>
    <w:rsid w:val="008A6389"/>
    <w:rsid w:val="008B027D"/>
    <w:rsid w:val="008B1094"/>
    <w:rsid w:val="008B3AD7"/>
    <w:rsid w:val="008D6087"/>
    <w:rsid w:val="0091720F"/>
    <w:rsid w:val="00922334"/>
    <w:rsid w:val="00925ABE"/>
    <w:rsid w:val="0095707F"/>
    <w:rsid w:val="0095711A"/>
    <w:rsid w:val="00967A53"/>
    <w:rsid w:val="00971573"/>
    <w:rsid w:val="0098236C"/>
    <w:rsid w:val="00995125"/>
    <w:rsid w:val="009A56D5"/>
    <w:rsid w:val="009B4CA3"/>
    <w:rsid w:val="009B79FF"/>
    <w:rsid w:val="009E6042"/>
    <w:rsid w:val="00A04965"/>
    <w:rsid w:val="00A07B41"/>
    <w:rsid w:val="00A10093"/>
    <w:rsid w:val="00A22CE1"/>
    <w:rsid w:val="00A31BD5"/>
    <w:rsid w:val="00A559D7"/>
    <w:rsid w:val="00A61DDD"/>
    <w:rsid w:val="00A67B39"/>
    <w:rsid w:val="00A76166"/>
    <w:rsid w:val="00A84783"/>
    <w:rsid w:val="00A956B7"/>
    <w:rsid w:val="00AB10EA"/>
    <w:rsid w:val="00AC3ECE"/>
    <w:rsid w:val="00AC4C50"/>
    <w:rsid w:val="00AD5886"/>
    <w:rsid w:val="00B01B77"/>
    <w:rsid w:val="00B05120"/>
    <w:rsid w:val="00B118D8"/>
    <w:rsid w:val="00B13675"/>
    <w:rsid w:val="00B14E30"/>
    <w:rsid w:val="00B213B4"/>
    <w:rsid w:val="00B266FB"/>
    <w:rsid w:val="00B34DCA"/>
    <w:rsid w:val="00B444B5"/>
    <w:rsid w:val="00B55ACD"/>
    <w:rsid w:val="00B64819"/>
    <w:rsid w:val="00B83322"/>
    <w:rsid w:val="00BA2501"/>
    <w:rsid w:val="00BB43A3"/>
    <w:rsid w:val="00BB4F40"/>
    <w:rsid w:val="00BD0758"/>
    <w:rsid w:val="00BD08B4"/>
    <w:rsid w:val="00BD0BF9"/>
    <w:rsid w:val="00BD166F"/>
    <w:rsid w:val="00BE2EFB"/>
    <w:rsid w:val="00BF63BB"/>
    <w:rsid w:val="00C2331B"/>
    <w:rsid w:val="00C37810"/>
    <w:rsid w:val="00C502BD"/>
    <w:rsid w:val="00C50C18"/>
    <w:rsid w:val="00C5789E"/>
    <w:rsid w:val="00C70D9C"/>
    <w:rsid w:val="00C95EFE"/>
    <w:rsid w:val="00CA3926"/>
    <w:rsid w:val="00CB41F7"/>
    <w:rsid w:val="00CD2E11"/>
    <w:rsid w:val="00CD628B"/>
    <w:rsid w:val="00D1033A"/>
    <w:rsid w:val="00D117A3"/>
    <w:rsid w:val="00D13620"/>
    <w:rsid w:val="00D23798"/>
    <w:rsid w:val="00D24871"/>
    <w:rsid w:val="00D41262"/>
    <w:rsid w:val="00D4302C"/>
    <w:rsid w:val="00D56006"/>
    <w:rsid w:val="00D60F5F"/>
    <w:rsid w:val="00D61242"/>
    <w:rsid w:val="00D706CA"/>
    <w:rsid w:val="00D76C8A"/>
    <w:rsid w:val="00D85910"/>
    <w:rsid w:val="00D85C73"/>
    <w:rsid w:val="00D93DCC"/>
    <w:rsid w:val="00D976FF"/>
    <w:rsid w:val="00DA1FEB"/>
    <w:rsid w:val="00DB0506"/>
    <w:rsid w:val="00DB1D57"/>
    <w:rsid w:val="00DC29B5"/>
    <w:rsid w:val="00DC6F77"/>
    <w:rsid w:val="00DF202D"/>
    <w:rsid w:val="00DF4631"/>
    <w:rsid w:val="00E111F0"/>
    <w:rsid w:val="00E1243D"/>
    <w:rsid w:val="00E32E19"/>
    <w:rsid w:val="00E5345C"/>
    <w:rsid w:val="00E631C7"/>
    <w:rsid w:val="00E65BE7"/>
    <w:rsid w:val="00E80692"/>
    <w:rsid w:val="00E92663"/>
    <w:rsid w:val="00E933F5"/>
    <w:rsid w:val="00EA0C82"/>
    <w:rsid w:val="00EA19AB"/>
    <w:rsid w:val="00EA6732"/>
    <w:rsid w:val="00EB34EC"/>
    <w:rsid w:val="00ED31EA"/>
    <w:rsid w:val="00EF63FE"/>
    <w:rsid w:val="00F02E28"/>
    <w:rsid w:val="00F051F8"/>
    <w:rsid w:val="00F1747E"/>
    <w:rsid w:val="00F269E8"/>
    <w:rsid w:val="00F32569"/>
    <w:rsid w:val="00F45632"/>
    <w:rsid w:val="00F51BDE"/>
    <w:rsid w:val="00F55DDA"/>
    <w:rsid w:val="00F678AF"/>
    <w:rsid w:val="00F73E82"/>
    <w:rsid w:val="00F8477C"/>
    <w:rsid w:val="00F85C60"/>
    <w:rsid w:val="00F87336"/>
    <w:rsid w:val="00FB509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CEA35"/>
  <w15:docId w15:val="{BA87A111-B22C-4E42-8CAD-6223A2E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391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6A27"/>
    <w:rPr>
      <w:color w:val="0563C1" w:themeColor="hyperlink"/>
      <w:u w:val="single"/>
    </w:rPr>
  </w:style>
  <w:style w:type="paragraph" w:styleId="Encabezado">
    <w:name w:val="header"/>
    <w:basedOn w:val="Normal"/>
    <w:link w:val="EncabezadoCar"/>
    <w:unhideWhenUsed/>
    <w:rsid w:val="00E1243D"/>
    <w:pPr>
      <w:tabs>
        <w:tab w:val="center" w:pos="4419"/>
        <w:tab w:val="right" w:pos="8838"/>
      </w:tabs>
      <w:spacing w:after="0" w:line="240" w:lineRule="auto"/>
    </w:pPr>
  </w:style>
  <w:style w:type="character" w:customStyle="1" w:styleId="EncabezadoCar">
    <w:name w:val="Encabezado Car"/>
    <w:basedOn w:val="Fuentedeprrafopredeter"/>
    <w:link w:val="Encabezado"/>
    <w:rsid w:val="00E1243D"/>
  </w:style>
  <w:style w:type="paragraph" w:styleId="Piedepgina">
    <w:name w:val="footer"/>
    <w:basedOn w:val="Normal"/>
    <w:link w:val="PiedepginaCar"/>
    <w:uiPriority w:val="99"/>
    <w:unhideWhenUsed/>
    <w:rsid w:val="00E12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243D"/>
  </w:style>
  <w:style w:type="paragraph" w:styleId="Textodeglobo">
    <w:name w:val="Balloon Text"/>
    <w:basedOn w:val="Normal"/>
    <w:link w:val="TextodegloboCar"/>
    <w:uiPriority w:val="99"/>
    <w:semiHidden/>
    <w:unhideWhenUsed/>
    <w:rsid w:val="007B6D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D42"/>
    <w:rPr>
      <w:rFonts w:ascii="Segoe UI" w:hAnsi="Segoe UI" w:cs="Segoe UI"/>
      <w:sz w:val="18"/>
      <w:szCs w:val="18"/>
    </w:rPr>
  </w:style>
  <w:style w:type="paragraph" w:styleId="Prrafodelista">
    <w:name w:val="List Paragraph"/>
    <w:basedOn w:val="Normal"/>
    <w:uiPriority w:val="34"/>
    <w:qFormat/>
    <w:rsid w:val="00E933F5"/>
    <w:pPr>
      <w:ind w:left="720"/>
      <w:contextualSpacing/>
    </w:pPr>
  </w:style>
  <w:style w:type="paragraph" w:customStyle="1" w:styleId="Default">
    <w:name w:val="Default"/>
    <w:rsid w:val="00A76166"/>
    <w:pPr>
      <w:autoSpaceDE w:val="0"/>
      <w:autoSpaceDN w:val="0"/>
      <w:adjustRightInd w:val="0"/>
      <w:spacing w:after="0" w:line="240" w:lineRule="auto"/>
    </w:pPr>
    <w:rPr>
      <w:rFonts w:ascii="Arial" w:hAnsi="Arial" w:cs="Arial"/>
      <w:color w:val="000000"/>
      <w:sz w:val="24"/>
      <w:szCs w:val="24"/>
      <w:lang w:val="es-MX"/>
    </w:rPr>
  </w:style>
  <w:style w:type="paragraph" w:styleId="Textonotapie">
    <w:name w:val="footnote text"/>
    <w:basedOn w:val="Normal"/>
    <w:link w:val="TextonotapieCar"/>
    <w:uiPriority w:val="99"/>
    <w:semiHidden/>
    <w:unhideWhenUsed/>
    <w:rsid w:val="00546E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EE3"/>
    <w:rPr>
      <w:sz w:val="20"/>
      <w:szCs w:val="20"/>
    </w:rPr>
  </w:style>
  <w:style w:type="character" w:styleId="Refdenotaalpie">
    <w:name w:val="footnote reference"/>
    <w:basedOn w:val="Fuentedeprrafopredeter"/>
    <w:uiPriority w:val="99"/>
    <w:semiHidden/>
    <w:unhideWhenUsed/>
    <w:rsid w:val="00546EE3"/>
    <w:rPr>
      <w:vertAlign w:val="superscript"/>
    </w:rPr>
  </w:style>
  <w:style w:type="character" w:styleId="Refdecomentario">
    <w:name w:val="annotation reference"/>
    <w:basedOn w:val="Fuentedeprrafopredeter"/>
    <w:uiPriority w:val="99"/>
    <w:semiHidden/>
    <w:unhideWhenUsed/>
    <w:rsid w:val="00546EE3"/>
    <w:rPr>
      <w:sz w:val="16"/>
      <w:szCs w:val="16"/>
    </w:rPr>
  </w:style>
  <w:style w:type="paragraph" w:styleId="Textocomentario">
    <w:name w:val="annotation text"/>
    <w:basedOn w:val="Normal"/>
    <w:link w:val="TextocomentarioCar"/>
    <w:uiPriority w:val="99"/>
    <w:semiHidden/>
    <w:unhideWhenUsed/>
    <w:rsid w:val="00546E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EE3"/>
    <w:rPr>
      <w:sz w:val="20"/>
      <w:szCs w:val="20"/>
    </w:rPr>
  </w:style>
  <w:style w:type="paragraph" w:styleId="Asuntodelcomentario">
    <w:name w:val="annotation subject"/>
    <w:basedOn w:val="Textocomentario"/>
    <w:next w:val="Textocomentario"/>
    <w:link w:val="AsuntodelcomentarioCar"/>
    <w:uiPriority w:val="99"/>
    <w:semiHidden/>
    <w:unhideWhenUsed/>
    <w:rsid w:val="00546EE3"/>
    <w:rPr>
      <w:b/>
      <w:bCs/>
    </w:rPr>
  </w:style>
  <w:style w:type="character" w:customStyle="1" w:styleId="AsuntodelcomentarioCar">
    <w:name w:val="Asunto del comentario Car"/>
    <w:basedOn w:val="TextocomentarioCar"/>
    <w:link w:val="Asuntodelcomentario"/>
    <w:uiPriority w:val="99"/>
    <w:semiHidden/>
    <w:rsid w:val="00546EE3"/>
    <w:rPr>
      <w:b/>
      <w:bCs/>
      <w:sz w:val="20"/>
      <w:szCs w:val="20"/>
    </w:rPr>
  </w:style>
  <w:style w:type="paragraph" w:styleId="Textoindependiente2">
    <w:name w:val="Body Text 2"/>
    <w:basedOn w:val="Normal"/>
    <w:link w:val="Textoindependiente2Car"/>
    <w:uiPriority w:val="99"/>
    <w:unhideWhenUsed/>
    <w:rsid w:val="003272CB"/>
    <w:pPr>
      <w:spacing w:after="200" w:line="360" w:lineRule="auto"/>
      <w:jc w:val="both"/>
    </w:pPr>
    <w:rPr>
      <w:rFonts w:ascii="Arial" w:hAnsi="Arial" w:cs="Arial"/>
      <w:b/>
      <w:sz w:val="24"/>
      <w:lang w:val="es-MX"/>
    </w:rPr>
  </w:style>
  <w:style w:type="character" w:customStyle="1" w:styleId="Textoindependiente2Car">
    <w:name w:val="Texto independiente 2 Car"/>
    <w:basedOn w:val="Fuentedeprrafopredeter"/>
    <w:link w:val="Textoindependiente2"/>
    <w:uiPriority w:val="99"/>
    <w:rsid w:val="003272CB"/>
    <w:rPr>
      <w:rFonts w:ascii="Arial" w:hAnsi="Arial" w:cs="Arial"/>
      <w:b/>
      <w:sz w:val="24"/>
      <w:lang w:val="es-MX"/>
    </w:rPr>
  </w:style>
  <w:style w:type="character" w:customStyle="1" w:styleId="Ttulo1Car">
    <w:name w:val="Título 1 Car"/>
    <w:basedOn w:val="Fuentedeprrafopredeter"/>
    <w:link w:val="Ttulo1"/>
    <w:uiPriority w:val="9"/>
    <w:rsid w:val="00391994"/>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111">
      <w:bodyDiv w:val="1"/>
      <w:marLeft w:val="0"/>
      <w:marRight w:val="0"/>
      <w:marTop w:val="0"/>
      <w:marBottom w:val="0"/>
      <w:divBdr>
        <w:top w:val="none" w:sz="0" w:space="0" w:color="auto"/>
        <w:left w:val="none" w:sz="0" w:space="0" w:color="auto"/>
        <w:bottom w:val="none" w:sz="0" w:space="0" w:color="auto"/>
        <w:right w:val="none" w:sz="0" w:space="0" w:color="auto"/>
      </w:divBdr>
      <w:divsChild>
        <w:div w:id="1407725224">
          <w:marLeft w:val="0"/>
          <w:marRight w:val="0"/>
          <w:marTop w:val="0"/>
          <w:marBottom w:val="0"/>
          <w:divBdr>
            <w:top w:val="none" w:sz="0" w:space="0" w:color="auto"/>
            <w:left w:val="none" w:sz="0" w:space="0" w:color="auto"/>
            <w:bottom w:val="none" w:sz="0" w:space="0" w:color="auto"/>
            <w:right w:val="none" w:sz="0" w:space="0" w:color="auto"/>
          </w:divBdr>
        </w:div>
        <w:div w:id="1929730596">
          <w:marLeft w:val="0"/>
          <w:marRight w:val="0"/>
          <w:marTop w:val="0"/>
          <w:marBottom w:val="0"/>
          <w:divBdr>
            <w:top w:val="none" w:sz="0" w:space="0" w:color="auto"/>
            <w:left w:val="none" w:sz="0" w:space="0" w:color="auto"/>
            <w:bottom w:val="none" w:sz="0" w:space="0" w:color="auto"/>
            <w:right w:val="none" w:sz="0" w:space="0" w:color="auto"/>
          </w:divBdr>
        </w:div>
        <w:div w:id="1146580960">
          <w:marLeft w:val="0"/>
          <w:marRight w:val="0"/>
          <w:marTop w:val="0"/>
          <w:marBottom w:val="0"/>
          <w:divBdr>
            <w:top w:val="none" w:sz="0" w:space="0" w:color="auto"/>
            <w:left w:val="none" w:sz="0" w:space="0" w:color="auto"/>
            <w:bottom w:val="none" w:sz="0" w:space="0" w:color="auto"/>
            <w:right w:val="none" w:sz="0" w:space="0" w:color="auto"/>
          </w:divBdr>
        </w:div>
        <w:div w:id="2123651581">
          <w:marLeft w:val="0"/>
          <w:marRight w:val="0"/>
          <w:marTop w:val="0"/>
          <w:marBottom w:val="0"/>
          <w:divBdr>
            <w:top w:val="none" w:sz="0" w:space="0" w:color="auto"/>
            <w:left w:val="none" w:sz="0" w:space="0" w:color="auto"/>
            <w:bottom w:val="none" w:sz="0" w:space="0" w:color="auto"/>
            <w:right w:val="none" w:sz="0" w:space="0" w:color="auto"/>
          </w:divBdr>
        </w:div>
        <w:div w:id="1845238386">
          <w:marLeft w:val="0"/>
          <w:marRight w:val="0"/>
          <w:marTop w:val="0"/>
          <w:marBottom w:val="0"/>
          <w:divBdr>
            <w:top w:val="none" w:sz="0" w:space="0" w:color="auto"/>
            <w:left w:val="none" w:sz="0" w:space="0" w:color="auto"/>
            <w:bottom w:val="none" w:sz="0" w:space="0" w:color="auto"/>
            <w:right w:val="none" w:sz="0" w:space="0" w:color="auto"/>
          </w:divBdr>
        </w:div>
        <w:div w:id="155460762">
          <w:marLeft w:val="0"/>
          <w:marRight w:val="0"/>
          <w:marTop w:val="0"/>
          <w:marBottom w:val="0"/>
          <w:divBdr>
            <w:top w:val="none" w:sz="0" w:space="0" w:color="auto"/>
            <w:left w:val="none" w:sz="0" w:space="0" w:color="auto"/>
            <w:bottom w:val="none" w:sz="0" w:space="0" w:color="auto"/>
            <w:right w:val="none" w:sz="0" w:space="0" w:color="auto"/>
          </w:divBdr>
        </w:div>
        <w:div w:id="876696680">
          <w:marLeft w:val="0"/>
          <w:marRight w:val="0"/>
          <w:marTop w:val="0"/>
          <w:marBottom w:val="0"/>
          <w:divBdr>
            <w:top w:val="none" w:sz="0" w:space="0" w:color="auto"/>
            <w:left w:val="none" w:sz="0" w:space="0" w:color="auto"/>
            <w:bottom w:val="none" w:sz="0" w:space="0" w:color="auto"/>
            <w:right w:val="none" w:sz="0" w:space="0" w:color="auto"/>
          </w:divBdr>
        </w:div>
        <w:div w:id="693993304">
          <w:marLeft w:val="0"/>
          <w:marRight w:val="0"/>
          <w:marTop w:val="0"/>
          <w:marBottom w:val="0"/>
          <w:divBdr>
            <w:top w:val="none" w:sz="0" w:space="0" w:color="auto"/>
            <w:left w:val="none" w:sz="0" w:space="0" w:color="auto"/>
            <w:bottom w:val="none" w:sz="0" w:space="0" w:color="auto"/>
            <w:right w:val="none" w:sz="0" w:space="0" w:color="auto"/>
          </w:divBdr>
        </w:div>
        <w:div w:id="2127265270">
          <w:marLeft w:val="0"/>
          <w:marRight w:val="0"/>
          <w:marTop w:val="0"/>
          <w:marBottom w:val="0"/>
          <w:divBdr>
            <w:top w:val="none" w:sz="0" w:space="0" w:color="auto"/>
            <w:left w:val="none" w:sz="0" w:space="0" w:color="auto"/>
            <w:bottom w:val="none" w:sz="0" w:space="0" w:color="auto"/>
            <w:right w:val="none" w:sz="0" w:space="0" w:color="auto"/>
          </w:divBdr>
        </w:div>
        <w:div w:id="2102407254">
          <w:marLeft w:val="0"/>
          <w:marRight w:val="0"/>
          <w:marTop w:val="0"/>
          <w:marBottom w:val="0"/>
          <w:divBdr>
            <w:top w:val="none" w:sz="0" w:space="0" w:color="auto"/>
            <w:left w:val="none" w:sz="0" w:space="0" w:color="auto"/>
            <w:bottom w:val="none" w:sz="0" w:space="0" w:color="auto"/>
            <w:right w:val="none" w:sz="0" w:space="0" w:color="auto"/>
          </w:divBdr>
        </w:div>
        <w:div w:id="1789857521">
          <w:marLeft w:val="0"/>
          <w:marRight w:val="0"/>
          <w:marTop w:val="0"/>
          <w:marBottom w:val="0"/>
          <w:divBdr>
            <w:top w:val="none" w:sz="0" w:space="0" w:color="auto"/>
            <w:left w:val="none" w:sz="0" w:space="0" w:color="auto"/>
            <w:bottom w:val="none" w:sz="0" w:space="0" w:color="auto"/>
            <w:right w:val="none" w:sz="0" w:space="0" w:color="auto"/>
          </w:divBdr>
        </w:div>
        <w:div w:id="1092701519">
          <w:marLeft w:val="0"/>
          <w:marRight w:val="0"/>
          <w:marTop w:val="0"/>
          <w:marBottom w:val="0"/>
          <w:divBdr>
            <w:top w:val="none" w:sz="0" w:space="0" w:color="auto"/>
            <w:left w:val="none" w:sz="0" w:space="0" w:color="auto"/>
            <w:bottom w:val="none" w:sz="0" w:space="0" w:color="auto"/>
            <w:right w:val="none" w:sz="0" w:space="0" w:color="auto"/>
          </w:divBdr>
        </w:div>
        <w:div w:id="2102295791">
          <w:marLeft w:val="0"/>
          <w:marRight w:val="0"/>
          <w:marTop w:val="0"/>
          <w:marBottom w:val="0"/>
          <w:divBdr>
            <w:top w:val="none" w:sz="0" w:space="0" w:color="auto"/>
            <w:left w:val="none" w:sz="0" w:space="0" w:color="auto"/>
            <w:bottom w:val="none" w:sz="0" w:space="0" w:color="auto"/>
            <w:right w:val="none" w:sz="0" w:space="0" w:color="auto"/>
          </w:divBdr>
        </w:div>
        <w:div w:id="2089107284">
          <w:marLeft w:val="0"/>
          <w:marRight w:val="0"/>
          <w:marTop w:val="0"/>
          <w:marBottom w:val="0"/>
          <w:divBdr>
            <w:top w:val="none" w:sz="0" w:space="0" w:color="auto"/>
            <w:left w:val="none" w:sz="0" w:space="0" w:color="auto"/>
            <w:bottom w:val="none" w:sz="0" w:space="0" w:color="auto"/>
            <w:right w:val="none" w:sz="0" w:space="0" w:color="auto"/>
          </w:divBdr>
        </w:div>
      </w:divsChild>
    </w:div>
    <w:div w:id="34234571">
      <w:bodyDiv w:val="1"/>
      <w:marLeft w:val="0"/>
      <w:marRight w:val="0"/>
      <w:marTop w:val="0"/>
      <w:marBottom w:val="0"/>
      <w:divBdr>
        <w:top w:val="none" w:sz="0" w:space="0" w:color="auto"/>
        <w:left w:val="none" w:sz="0" w:space="0" w:color="auto"/>
        <w:bottom w:val="none" w:sz="0" w:space="0" w:color="auto"/>
        <w:right w:val="none" w:sz="0" w:space="0" w:color="auto"/>
      </w:divBdr>
    </w:div>
    <w:div w:id="45494418">
      <w:bodyDiv w:val="1"/>
      <w:marLeft w:val="0"/>
      <w:marRight w:val="0"/>
      <w:marTop w:val="0"/>
      <w:marBottom w:val="0"/>
      <w:divBdr>
        <w:top w:val="none" w:sz="0" w:space="0" w:color="auto"/>
        <w:left w:val="none" w:sz="0" w:space="0" w:color="auto"/>
        <w:bottom w:val="none" w:sz="0" w:space="0" w:color="auto"/>
        <w:right w:val="none" w:sz="0" w:space="0" w:color="auto"/>
      </w:divBdr>
    </w:div>
    <w:div w:id="223444502">
      <w:bodyDiv w:val="1"/>
      <w:marLeft w:val="0"/>
      <w:marRight w:val="0"/>
      <w:marTop w:val="0"/>
      <w:marBottom w:val="0"/>
      <w:divBdr>
        <w:top w:val="none" w:sz="0" w:space="0" w:color="auto"/>
        <w:left w:val="none" w:sz="0" w:space="0" w:color="auto"/>
        <w:bottom w:val="none" w:sz="0" w:space="0" w:color="auto"/>
        <w:right w:val="none" w:sz="0" w:space="0" w:color="auto"/>
      </w:divBdr>
    </w:div>
    <w:div w:id="293952548">
      <w:bodyDiv w:val="1"/>
      <w:marLeft w:val="0"/>
      <w:marRight w:val="0"/>
      <w:marTop w:val="0"/>
      <w:marBottom w:val="0"/>
      <w:divBdr>
        <w:top w:val="none" w:sz="0" w:space="0" w:color="auto"/>
        <w:left w:val="none" w:sz="0" w:space="0" w:color="auto"/>
        <w:bottom w:val="none" w:sz="0" w:space="0" w:color="auto"/>
        <w:right w:val="none" w:sz="0" w:space="0" w:color="auto"/>
      </w:divBdr>
    </w:div>
    <w:div w:id="311181780">
      <w:bodyDiv w:val="1"/>
      <w:marLeft w:val="0"/>
      <w:marRight w:val="0"/>
      <w:marTop w:val="0"/>
      <w:marBottom w:val="0"/>
      <w:divBdr>
        <w:top w:val="none" w:sz="0" w:space="0" w:color="auto"/>
        <w:left w:val="none" w:sz="0" w:space="0" w:color="auto"/>
        <w:bottom w:val="none" w:sz="0" w:space="0" w:color="auto"/>
        <w:right w:val="none" w:sz="0" w:space="0" w:color="auto"/>
      </w:divBdr>
    </w:div>
    <w:div w:id="333456260">
      <w:bodyDiv w:val="1"/>
      <w:marLeft w:val="0"/>
      <w:marRight w:val="0"/>
      <w:marTop w:val="0"/>
      <w:marBottom w:val="0"/>
      <w:divBdr>
        <w:top w:val="none" w:sz="0" w:space="0" w:color="auto"/>
        <w:left w:val="none" w:sz="0" w:space="0" w:color="auto"/>
        <w:bottom w:val="none" w:sz="0" w:space="0" w:color="auto"/>
        <w:right w:val="none" w:sz="0" w:space="0" w:color="auto"/>
      </w:divBdr>
    </w:div>
    <w:div w:id="354888393">
      <w:bodyDiv w:val="1"/>
      <w:marLeft w:val="0"/>
      <w:marRight w:val="0"/>
      <w:marTop w:val="0"/>
      <w:marBottom w:val="0"/>
      <w:divBdr>
        <w:top w:val="none" w:sz="0" w:space="0" w:color="auto"/>
        <w:left w:val="none" w:sz="0" w:space="0" w:color="auto"/>
        <w:bottom w:val="none" w:sz="0" w:space="0" w:color="auto"/>
        <w:right w:val="none" w:sz="0" w:space="0" w:color="auto"/>
      </w:divBdr>
    </w:div>
    <w:div w:id="366834339">
      <w:bodyDiv w:val="1"/>
      <w:marLeft w:val="0"/>
      <w:marRight w:val="0"/>
      <w:marTop w:val="0"/>
      <w:marBottom w:val="0"/>
      <w:divBdr>
        <w:top w:val="none" w:sz="0" w:space="0" w:color="auto"/>
        <w:left w:val="none" w:sz="0" w:space="0" w:color="auto"/>
        <w:bottom w:val="none" w:sz="0" w:space="0" w:color="auto"/>
        <w:right w:val="none" w:sz="0" w:space="0" w:color="auto"/>
      </w:divBdr>
    </w:div>
    <w:div w:id="379407150">
      <w:bodyDiv w:val="1"/>
      <w:marLeft w:val="0"/>
      <w:marRight w:val="0"/>
      <w:marTop w:val="0"/>
      <w:marBottom w:val="0"/>
      <w:divBdr>
        <w:top w:val="none" w:sz="0" w:space="0" w:color="auto"/>
        <w:left w:val="none" w:sz="0" w:space="0" w:color="auto"/>
        <w:bottom w:val="none" w:sz="0" w:space="0" w:color="auto"/>
        <w:right w:val="none" w:sz="0" w:space="0" w:color="auto"/>
      </w:divBdr>
    </w:div>
    <w:div w:id="404493039">
      <w:bodyDiv w:val="1"/>
      <w:marLeft w:val="0"/>
      <w:marRight w:val="0"/>
      <w:marTop w:val="0"/>
      <w:marBottom w:val="0"/>
      <w:divBdr>
        <w:top w:val="none" w:sz="0" w:space="0" w:color="auto"/>
        <w:left w:val="none" w:sz="0" w:space="0" w:color="auto"/>
        <w:bottom w:val="none" w:sz="0" w:space="0" w:color="auto"/>
        <w:right w:val="none" w:sz="0" w:space="0" w:color="auto"/>
      </w:divBdr>
    </w:div>
    <w:div w:id="418528193">
      <w:bodyDiv w:val="1"/>
      <w:marLeft w:val="0"/>
      <w:marRight w:val="0"/>
      <w:marTop w:val="0"/>
      <w:marBottom w:val="0"/>
      <w:divBdr>
        <w:top w:val="none" w:sz="0" w:space="0" w:color="auto"/>
        <w:left w:val="none" w:sz="0" w:space="0" w:color="auto"/>
        <w:bottom w:val="none" w:sz="0" w:space="0" w:color="auto"/>
        <w:right w:val="none" w:sz="0" w:space="0" w:color="auto"/>
      </w:divBdr>
    </w:div>
    <w:div w:id="452360891">
      <w:bodyDiv w:val="1"/>
      <w:marLeft w:val="0"/>
      <w:marRight w:val="0"/>
      <w:marTop w:val="0"/>
      <w:marBottom w:val="0"/>
      <w:divBdr>
        <w:top w:val="none" w:sz="0" w:space="0" w:color="auto"/>
        <w:left w:val="none" w:sz="0" w:space="0" w:color="auto"/>
        <w:bottom w:val="none" w:sz="0" w:space="0" w:color="auto"/>
        <w:right w:val="none" w:sz="0" w:space="0" w:color="auto"/>
      </w:divBdr>
    </w:div>
    <w:div w:id="507446424">
      <w:bodyDiv w:val="1"/>
      <w:marLeft w:val="0"/>
      <w:marRight w:val="0"/>
      <w:marTop w:val="0"/>
      <w:marBottom w:val="0"/>
      <w:divBdr>
        <w:top w:val="none" w:sz="0" w:space="0" w:color="auto"/>
        <w:left w:val="none" w:sz="0" w:space="0" w:color="auto"/>
        <w:bottom w:val="none" w:sz="0" w:space="0" w:color="auto"/>
        <w:right w:val="none" w:sz="0" w:space="0" w:color="auto"/>
      </w:divBdr>
    </w:div>
    <w:div w:id="511257818">
      <w:bodyDiv w:val="1"/>
      <w:marLeft w:val="0"/>
      <w:marRight w:val="0"/>
      <w:marTop w:val="0"/>
      <w:marBottom w:val="0"/>
      <w:divBdr>
        <w:top w:val="none" w:sz="0" w:space="0" w:color="auto"/>
        <w:left w:val="none" w:sz="0" w:space="0" w:color="auto"/>
        <w:bottom w:val="none" w:sz="0" w:space="0" w:color="auto"/>
        <w:right w:val="none" w:sz="0" w:space="0" w:color="auto"/>
      </w:divBdr>
    </w:div>
    <w:div w:id="625358475">
      <w:bodyDiv w:val="1"/>
      <w:marLeft w:val="0"/>
      <w:marRight w:val="0"/>
      <w:marTop w:val="0"/>
      <w:marBottom w:val="0"/>
      <w:divBdr>
        <w:top w:val="none" w:sz="0" w:space="0" w:color="auto"/>
        <w:left w:val="none" w:sz="0" w:space="0" w:color="auto"/>
        <w:bottom w:val="none" w:sz="0" w:space="0" w:color="auto"/>
        <w:right w:val="none" w:sz="0" w:space="0" w:color="auto"/>
      </w:divBdr>
    </w:div>
    <w:div w:id="682826455">
      <w:bodyDiv w:val="1"/>
      <w:marLeft w:val="0"/>
      <w:marRight w:val="0"/>
      <w:marTop w:val="0"/>
      <w:marBottom w:val="0"/>
      <w:divBdr>
        <w:top w:val="none" w:sz="0" w:space="0" w:color="auto"/>
        <w:left w:val="none" w:sz="0" w:space="0" w:color="auto"/>
        <w:bottom w:val="none" w:sz="0" w:space="0" w:color="auto"/>
        <w:right w:val="none" w:sz="0" w:space="0" w:color="auto"/>
      </w:divBdr>
    </w:div>
    <w:div w:id="718431868">
      <w:bodyDiv w:val="1"/>
      <w:marLeft w:val="0"/>
      <w:marRight w:val="0"/>
      <w:marTop w:val="0"/>
      <w:marBottom w:val="0"/>
      <w:divBdr>
        <w:top w:val="none" w:sz="0" w:space="0" w:color="auto"/>
        <w:left w:val="none" w:sz="0" w:space="0" w:color="auto"/>
        <w:bottom w:val="none" w:sz="0" w:space="0" w:color="auto"/>
        <w:right w:val="none" w:sz="0" w:space="0" w:color="auto"/>
      </w:divBdr>
    </w:div>
    <w:div w:id="729230298">
      <w:bodyDiv w:val="1"/>
      <w:marLeft w:val="0"/>
      <w:marRight w:val="0"/>
      <w:marTop w:val="0"/>
      <w:marBottom w:val="0"/>
      <w:divBdr>
        <w:top w:val="none" w:sz="0" w:space="0" w:color="auto"/>
        <w:left w:val="none" w:sz="0" w:space="0" w:color="auto"/>
        <w:bottom w:val="none" w:sz="0" w:space="0" w:color="auto"/>
        <w:right w:val="none" w:sz="0" w:space="0" w:color="auto"/>
      </w:divBdr>
    </w:div>
    <w:div w:id="753433913">
      <w:bodyDiv w:val="1"/>
      <w:marLeft w:val="0"/>
      <w:marRight w:val="0"/>
      <w:marTop w:val="0"/>
      <w:marBottom w:val="0"/>
      <w:divBdr>
        <w:top w:val="none" w:sz="0" w:space="0" w:color="auto"/>
        <w:left w:val="none" w:sz="0" w:space="0" w:color="auto"/>
        <w:bottom w:val="none" w:sz="0" w:space="0" w:color="auto"/>
        <w:right w:val="none" w:sz="0" w:space="0" w:color="auto"/>
      </w:divBdr>
    </w:div>
    <w:div w:id="824787212">
      <w:bodyDiv w:val="1"/>
      <w:marLeft w:val="0"/>
      <w:marRight w:val="0"/>
      <w:marTop w:val="0"/>
      <w:marBottom w:val="0"/>
      <w:divBdr>
        <w:top w:val="none" w:sz="0" w:space="0" w:color="auto"/>
        <w:left w:val="none" w:sz="0" w:space="0" w:color="auto"/>
        <w:bottom w:val="none" w:sz="0" w:space="0" w:color="auto"/>
        <w:right w:val="none" w:sz="0" w:space="0" w:color="auto"/>
      </w:divBdr>
    </w:div>
    <w:div w:id="893854038">
      <w:bodyDiv w:val="1"/>
      <w:marLeft w:val="0"/>
      <w:marRight w:val="0"/>
      <w:marTop w:val="0"/>
      <w:marBottom w:val="0"/>
      <w:divBdr>
        <w:top w:val="none" w:sz="0" w:space="0" w:color="auto"/>
        <w:left w:val="none" w:sz="0" w:space="0" w:color="auto"/>
        <w:bottom w:val="none" w:sz="0" w:space="0" w:color="auto"/>
        <w:right w:val="none" w:sz="0" w:space="0" w:color="auto"/>
      </w:divBdr>
    </w:div>
    <w:div w:id="913468647">
      <w:bodyDiv w:val="1"/>
      <w:marLeft w:val="0"/>
      <w:marRight w:val="0"/>
      <w:marTop w:val="0"/>
      <w:marBottom w:val="0"/>
      <w:divBdr>
        <w:top w:val="none" w:sz="0" w:space="0" w:color="auto"/>
        <w:left w:val="none" w:sz="0" w:space="0" w:color="auto"/>
        <w:bottom w:val="none" w:sz="0" w:space="0" w:color="auto"/>
        <w:right w:val="none" w:sz="0" w:space="0" w:color="auto"/>
      </w:divBdr>
      <w:divsChild>
        <w:div w:id="1608541415">
          <w:marLeft w:val="0"/>
          <w:marRight w:val="0"/>
          <w:marTop w:val="0"/>
          <w:marBottom w:val="0"/>
          <w:divBdr>
            <w:top w:val="none" w:sz="0" w:space="0" w:color="auto"/>
            <w:left w:val="none" w:sz="0" w:space="0" w:color="auto"/>
            <w:bottom w:val="none" w:sz="0" w:space="0" w:color="auto"/>
            <w:right w:val="none" w:sz="0" w:space="0" w:color="auto"/>
          </w:divBdr>
          <w:divsChild>
            <w:div w:id="1997950177">
              <w:marLeft w:val="-225"/>
              <w:marRight w:val="1894"/>
              <w:marTop w:val="0"/>
              <w:marBottom w:val="0"/>
              <w:divBdr>
                <w:top w:val="none" w:sz="0" w:space="0" w:color="auto"/>
                <w:left w:val="none" w:sz="0" w:space="0" w:color="auto"/>
                <w:bottom w:val="none" w:sz="0" w:space="0" w:color="auto"/>
                <w:right w:val="none" w:sz="0" w:space="0" w:color="auto"/>
              </w:divBdr>
              <w:divsChild>
                <w:div w:id="346100180">
                  <w:marLeft w:val="0"/>
                  <w:marRight w:val="0"/>
                  <w:marTop w:val="0"/>
                  <w:marBottom w:val="0"/>
                  <w:divBdr>
                    <w:top w:val="none" w:sz="0" w:space="0" w:color="auto"/>
                    <w:left w:val="none" w:sz="0" w:space="0" w:color="auto"/>
                    <w:bottom w:val="none" w:sz="0" w:space="0" w:color="auto"/>
                    <w:right w:val="none" w:sz="0" w:space="0" w:color="auto"/>
                  </w:divBdr>
                  <w:divsChild>
                    <w:div w:id="531110247">
                      <w:marLeft w:val="0"/>
                      <w:marRight w:val="0"/>
                      <w:marTop w:val="0"/>
                      <w:marBottom w:val="0"/>
                      <w:divBdr>
                        <w:top w:val="none" w:sz="0" w:space="0" w:color="auto"/>
                        <w:left w:val="none" w:sz="0" w:space="0" w:color="auto"/>
                        <w:bottom w:val="none" w:sz="0" w:space="0" w:color="auto"/>
                        <w:right w:val="none" w:sz="0" w:space="0" w:color="auto"/>
                      </w:divBdr>
                      <w:divsChild>
                        <w:div w:id="322587667">
                          <w:marLeft w:val="0"/>
                          <w:marRight w:val="0"/>
                          <w:marTop w:val="0"/>
                          <w:marBottom w:val="0"/>
                          <w:divBdr>
                            <w:top w:val="none" w:sz="0" w:space="0" w:color="auto"/>
                            <w:left w:val="none" w:sz="0" w:space="0" w:color="auto"/>
                            <w:bottom w:val="none" w:sz="0" w:space="0" w:color="auto"/>
                            <w:right w:val="none" w:sz="0" w:space="0" w:color="auto"/>
                          </w:divBdr>
                          <w:divsChild>
                            <w:div w:id="1541166854">
                              <w:marLeft w:val="0"/>
                              <w:marRight w:val="0"/>
                              <w:marTop w:val="0"/>
                              <w:marBottom w:val="0"/>
                              <w:divBdr>
                                <w:top w:val="none" w:sz="0" w:space="0" w:color="auto"/>
                                <w:left w:val="none" w:sz="0" w:space="0" w:color="auto"/>
                                <w:bottom w:val="none" w:sz="0" w:space="0" w:color="auto"/>
                                <w:right w:val="none" w:sz="0" w:space="0" w:color="auto"/>
                              </w:divBdr>
                              <w:divsChild>
                                <w:div w:id="20923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2602">
          <w:marLeft w:val="0"/>
          <w:marRight w:val="0"/>
          <w:marTop w:val="0"/>
          <w:marBottom w:val="0"/>
          <w:divBdr>
            <w:top w:val="none" w:sz="0" w:space="0" w:color="auto"/>
            <w:left w:val="none" w:sz="0" w:space="0" w:color="auto"/>
            <w:bottom w:val="none" w:sz="0" w:space="0" w:color="auto"/>
            <w:right w:val="none" w:sz="0" w:space="0" w:color="auto"/>
          </w:divBdr>
          <w:divsChild>
            <w:div w:id="1074472985">
              <w:marLeft w:val="1894"/>
              <w:marRight w:val="1894"/>
              <w:marTop w:val="0"/>
              <w:marBottom w:val="0"/>
              <w:divBdr>
                <w:top w:val="none" w:sz="0" w:space="0" w:color="auto"/>
                <w:left w:val="none" w:sz="0" w:space="0" w:color="auto"/>
                <w:bottom w:val="none" w:sz="0" w:space="0" w:color="auto"/>
                <w:right w:val="none" w:sz="0" w:space="0" w:color="auto"/>
              </w:divBdr>
              <w:divsChild>
                <w:div w:id="70590708">
                  <w:marLeft w:val="0"/>
                  <w:marRight w:val="0"/>
                  <w:marTop w:val="0"/>
                  <w:marBottom w:val="0"/>
                  <w:divBdr>
                    <w:top w:val="none" w:sz="0" w:space="0" w:color="auto"/>
                    <w:left w:val="none" w:sz="0" w:space="0" w:color="auto"/>
                    <w:bottom w:val="none" w:sz="0" w:space="0" w:color="auto"/>
                    <w:right w:val="none" w:sz="0" w:space="0" w:color="auto"/>
                  </w:divBdr>
                  <w:divsChild>
                    <w:div w:id="1152797885">
                      <w:marLeft w:val="0"/>
                      <w:marRight w:val="0"/>
                      <w:marTop w:val="0"/>
                      <w:marBottom w:val="0"/>
                      <w:divBdr>
                        <w:top w:val="none" w:sz="0" w:space="0" w:color="auto"/>
                        <w:left w:val="none" w:sz="0" w:space="0" w:color="auto"/>
                        <w:bottom w:val="none" w:sz="0" w:space="0" w:color="auto"/>
                        <w:right w:val="none" w:sz="0" w:space="0" w:color="auto"/>
                      </w:divBdr>
                      <w:divsChild>
                        <w:div w:id="1534490057">
                          <w:marLeft w:val="0"/>
                          <w:marRight w:val="0"/>
                          <w:marTop w:val="0"/>
                          <w:marBottom w:val="0"/>
                          <w:divBdr>
                            <w:top w:val="none" w:sz="0" w:space="0" w:color="auto"/>
                            <w:left w:val="none" w:sz="0" w:space="0" w:color="auto"/>
                            <w:bottom w:val="none" w:sz="0" w:space="0" w:color="auto"/>
                            <w:right w:val="none" w:sz="0" w:space="0" w:color="auto"/>
                          </w:divBdr>
                          <w:divsChild>
                            <w:div w:id="770972693">
                              <w:marLeft w:val="0"/>
                              <w:marRight w:val="0"/>
                              <w:marTop w:val="0"/>
                              <w:marBottom w:val="0"/>
                              <w:divBdr>
                                <w:top w:val="none" w:sz="0" w:space="0" w:color="auto"/>
                                <w:left w:val="none" w:sz="0" w:space="0" w:color="auto"/>
                                <w:bottom w:val="none" w:sz="0" w:space="0" w:color="auto"/>
                                <w:right w:val="none" w:sz="0" w:space="0" w:color="auto"/>
                              </w:divBdr>
                              <w:divsChild>
                                <w:div w:id="576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16246">
      <w:bodyDiv w:val="1"/>
      <w:marLeft w:val="0"/>
      <w:marRight w:val="0"/>
      <w:marTop w:val="0"/>
      <w:marBottom w:val="0"/>
      <w:divBdr>
        <w:top w:val="none" w:sz="0" w:space="0" w:color="auto"/>
        <w:left w:val="none" w:sz="0" w:space="0" w:color="auto"/>
        <w:bottom w:val="none" w:sz="0" w:space="0" w:color="auto"/>
        <w:right w:val="none" w:sz="0" w:space="0" w:color="auto"/>
      </w:divBdr>
    </w:div>
    <w:div w:id="989408300">
      <w:bodyDiv w:val="1"/>
      <w:marLeft w:val="0"/>
      <w:marRight w:val="0"/>
      <w:marTop w:val="0"/>
      <w:marBottom w:val="0"/>
      <w:divBdr>
        <w:top w:val="none" w:sz="0" w:space="0" w:color="auto"/>
        <w:left w:val="none" w:sz="0" w:space="0" w:color="auto"/>
        <w:bottom w:val="none" w:sz="0" w:space="0" w:color="auto"/>
        <w:right w:val="none" w:sz="0" w:space="0" w:color="auto"/>
      </w:divBdr>
    </w:div>
    <w:div w:id="1019889711">
      <w:bodyDiv w:val="1"/>
      <w:marLeft w:val="0"/>
      <w:marRight w:val="0"/>
      <w:marTop w:val="0"/>
      <w:marBottom w:val="0"/>
      <w:divBdr>
        <w:top w:val="none" w:sz="0" w:space="0" w:color="auto"/>
        <w:left w:val="none" w:sz="0" w:space="0" w:color="auto"/>
        <w:bottom w:val="none" w:sz="0" w:space="0" w:color="auto"/>
        <w:right w:val="none" w:sz="0" w:space="0" w:color="auto"/>
      </w:divBdr>
    </w:div>
    <w:div w:id="1021780016">
      <w:bodyDiv w:val="1"/>
      <w:marLeft w:val="0"/>
      <w:marRight w:val="0"/>
      <w:marTop w:val="0"/>
      <w:marBottom w:val="0"/>
      <w:divBdr>
        <w:top w:val="none" w:sz="0" w:space="0" w:color="auto"/>
        <w:left w:val="none" w:sz="0" w:space="0" w:color="auto"/>
        <w:bottom w:val="none" w:sz="0" w:space="0" w:color="auto"/>
        <w:right w:val="none" w:sz="0" w:space="0" w:color="auto"/>
      </w:divBdr>
    </w:div>
    <w:div w:id="1052189215">
      <w:bodyDiv w:val="1"/>
      <w:marLeft w:val="0"/>
      <w:marRight w:val="0"/>
      <w:marTop w:val="0"/>
      <w:marBottom w:val="0"/>
      <w:divBdr>
        <w:top w:val="none" w:sz="0" w:space="0" w:color="auto"/>
        <w:left w:val="none" w:sz="0" w:space="0" w:color="auto"/>
        <w:bottom w:val="none" w:sz="0" w:space="0" w:color="auto"/>
        <w:right w:val="none" w:sz="0" w:space="0" w:color="auto"/>
      </w:divBdr>
    </w:div>
    <w:div w:id="1066536394">
      <w:bodyDiv w:val="1"/>
      <w:marLeft w:val="0"/>
      <w:marRight w:val="0"/>
      <w:marTop w:val="0"/>
      <w:marBottom w:val="0"/>
      <w:divBdr>
        <w:top w:val="none" w:sz="0" w:space="0" w:color="auto"/>
        <w:left w:val="none" w:sz="0" w:space="0" w:color="auto"/>
        <w:bottom w:val="none" w:sz="0" w:space="0" w:color="auto"/>
        <w:right w:val="none" w:sz="0" w:space="0" w:color="auto"/>
      </w:divBdr>
    </w:div>
    <w:div w:id="1082993952">
      <w:bodyDiv w:val="1"/>
      <w:marLeft w:val="0"/>
      <w:marRight w:val="0"/>
      <w:marTop w:val="0"/>
      <w:marBottom w:val="0"/>
      <w:divBdr>
        <w:top w:val="none" w:sz="0" w:space="0" w:color="auto"/>
        <w:left w:val="none" w:sz="0" w:space="0" w:color="auto"/>
        <w:bottom w:val="none" w:sz="0" w:space="0" w:color="auto"/>
        <w:right w:val="none" w:sz="0" w:space="0" w:color="auto"/>
      </w:divBdr>
    </w:div>
    <w:div w:id="1089353417">
      <w:bodyDiv w:val="1"/>
      <w:marLeft w:val="0"/>
      <w:marRight w:val="0"/>
      <w:marTop w:val="0"/>
      <w:marBottom w:val="0"/>
      <w:divBdr>
        <w:top w:val="none" w:sz="0" w:space="0" w:color="auto"/>
        <w:left w:val="none" w:sz="0" w:space="0" w:color="auto"/>
        <w:bottom w:val="none" w:sz="0" w:space="0" w:color="auto"/>
        <w:right w:val="none" w:sz="0" w:space="0" w:color="auto"/>
      </w:divBdr>
    </w:div>
    <w:div w:id="1130903535">
      <w:bodyDiv w:val="1"/>
      <w:marLeft w:val="0"/>
      <w:marRight w:val="0"/>
      <w:marTop w:val="0"/>
      <w:marBottom w:val="0"/>
      <w:divBdr>
        <w:top w:val="none" w:sz="0" w:space="0" w:color="auto"/>
        <w:left w:val="none" w:sz="0" w:space="0" w:color="auto"/>
        <w:bottom w:val="none" w:sz="0" w:space="0" w:color="auto"/>
        <w:right w:val="none" w:sz="0" w:space="0" w:color="auto"/>
      </w:divBdr>
    </w:div>
    <w:div w:id="1139809883">
      <w:bodyDiv w:val="1"/>
      <w:marLeft w:val="0"/>
      <w:marRight w:val="0"/>
      <w:marTop w:val="0"/>
      <w:marBottom w:val="0"/>
      <w:divBdr>
        <w:top w:val="none" w:sz="0" w:space="0" w:color="auto"/>
        <w:left w:val="none" w:sz="0" w:space="0" w:color="auto"/>
        <w:bottom w:val="none" w:sz="0" w:space="0" w:color="auto"/>
        <w:right w:val="none" w:sz="0" w:space="0" w:color="auto"/>
      </w:divBdr>
    </w:div>
    <w:div w:id="1290666315">
      <w:bodyDiv w:val="1"/>
      <w:marLeft w:val="0"/>
      <w:marRight w:val="0"/>
      <w:marTop w:val="0"/>
      <w:marBottom w:val="0"/>
      <w:divBdr>
        <w:top w:val="none" w:sz="0" w:space="0" w:color="auto"/>
        <w:left w:val="none" w:sz="0" w:space="0" w:color="auto"/>
        <w:bottom w:val="none" w:sz="0" w:space="0" w:color="auto"/>
        <w:right w:val="none" w:sz="0" w:space="0" w:color="auto"/>
      </w:divBdr>
    </w:div>
    <w:div w:id="1327594079">
      <w:bodyDiv w:val="1"/>
      <w:marLeft w:val="0"/>
      <w:marRight w:val="0"/>
      <w:marTop w:val="0"/>
      <w:marBottom w:val="0"/>
      <w:divBdr>
        <w:top w:val="none" w:sz="0" w:space="0" w:color="auto"/>
        <w:left w:val="none" w:sz="0" w:space="0" w:color="auto"/>
        <w:bottom w:val="none" w:sz="0" w:space="0" w:color="auto"/>
        <w:right w:val="none" w:sz="0" w:space="0" w:color="auto"/>
      </w:divBdr>
    </w:div>
    <w:div w:id="1366515761">
      <w:bodyDiv w:val="1"/>
      <w:marLeft w:val="0"/>
      <w:marRight w:val="0"/>
      <w:marTop w:val="0"/>
      <w:marBottom w:val="0"/>
      <w:divBdr>
        <w:top w:val="none" w:sz="0" w:space="0" w:color="auto"/>
        <w:left w:val="none" w:sz="0" w:space="0" w:color="auto"/>
        <w:bottom w:val="none" w:sz="0" w:space="0" w:color="auto"/>
        <w:right w:val="none" w:sz="0" w:space="0" w:color="auto"/>
      </w:divBdr>
    </w:div>
    <w:div w:id="1378704569">
      <w:bodyDiv w:val="1"/>
      <w:marLeft w:val="0"/>
      <w:marRight w:val="0"/>
      <w:marTop w:val="0"/>
      <w:marBottom w:val="0"/>
      <w:divBdr>
        <w:top w:val="none" w:sz="0" w:space="0" w:color="auto"/>
        <w:left w:val="none" w:sz="0" w:space="0" w:color="auto"/>
        <w:bottom w:val="none" w:sz="0" w:space="0" w:color="auto"/>
        <w:right w:val="none" w:sz="0" w:space="0" w:color="auto"/>
      </w:divBdr>
    </w:div>
    <w:div w:id="1398433361">
      <w:bodyDiv w:val="1"/>
      <w:marLeft w:val="0"/>
      <w:marRight w:val="0"/>
      <w:marTop w:val="0"/>
      <w:marBottom w:val="0"/>
      <w:divBdr>
        <w:top w:val="none" w:sz="0" w:space="0" w:color="auto"/>
        <w:left w:val="none" w:sz="0" w:space="0" w:color="auto"/>
        <w:bottom w:val="none" w:sz="0" w:space="0" w:color="auto"/>
        <w:right w:val="none" w:sz="0" w:space="0" w:color="auto"/>
      </w:divBdr>
    </w:div>
    <w:div w:id="1414356418">
      <w:bodyDiv w:val="1"/>
      <w:marLeft w:val="0"/>
      <w:marRight w:val="0"/>
      <w:marTop w:val="0"/>
      <w:marBottom w:val="0"/>
      <w:divBdr>
        <w:top w:val="none" w:sz="0" w:space="0" w:color="auto"/>
        <w:left w:val="none" w:sz="0" w:space="0" w:color="auto"/>
        <w:bottom w:val="none" w:sz="0" w:space="0" w:color="auto"/>
        <w:right w:val="none" w:sz="0" w:space="0" w:color="auto"/>
      </w:divBdr>
      <w:divsChild>
        <w:div w:id="1600873963">
          <w:marLeft w:val="0"/>
          <w:marRight w:val="0"/>
          <w:marTop w:val="0"/>
          <w:marBottom w:val="0"/>
          <w:divBdr>
            <w:top w:val="none" w:sz="0" w:space="0" w:color="auto"/>
            <w:left w:val="none" w:sz="0" w:space="0" w:color="auto"/>
            <w:bottom w:val="none" w:sz="0" w:space="0" w:color="auto"/>
            <w:right w:val="none" w:sz="0" w:space="0" w:color="auto"/>
          </w:divBdr>
          <w:divsChild>
            <w:div w:id="1870333271">
              <w:marLeft w:val="-225"/>
              <w:marRight w:val="-225"/>
              <w:marTop w:val="0"/>
              <w:marBottom w:val="0"/>
              <w:divBdr>
                <w:top w:val="none" w:sz="0" w:space="0" w:color="auto"/>
                <w:left w:val="none" w:sz="0" w:space="0" w:color="auto"/>
                <w:bottom w:val="none" w:sz="0" w:space="0" w:color="auto"/>
                <w:right w:val="none" w:sz="0" w:space="0" w:color="auto"/>
              </w:divBdr>
              <w:divsChild>
                <w:div w:id="373894677">
                  <w:marLeft w:val="0"/>
                  <w:marRight w:val="0"/>
                  <w:marTop w:val="0"/>
                  <w:marBottom w:val="0"/>
                  <w:divBdr>
                    <w:top w:val="none" w:sz="0" w:space="0" w:color="auto"/>
                    <w:left w:val="none" w:sz="0" w:space="0" w:color="auto"/>
                    <w:bottom w:val="none" w:sz="0" w:space="0" w:color="auto"/>
                    <w:right w:val="none" w:sz="0" w:space="0" w:color="auto"/>
                  </w:divBdr>
                  <w:divsChild>
                    <w:div w:id="1367562770">
                      <w:marLeft w:val="0"/>
                      <w:marRight w:val="0"/>
                      <w:marTop w:val="0"/>
                      <w:marBottom w:val="0"/>
                      <w:divBdr>
                        <w:top w:val="none" w:sz="0" w:space="0" w:color="auto"/>
                        <w:left w:val="none" w:sz="0" w:space="0" w:color="auto"/>
                        <w:bottom w:val="none" w:sz="0" w:space="0" w:color="auto"/>
                        <w:right w:val="none" w:sz="0" w:space="0" w:color="auto"/>
                      </w:divBdr>
                      <w:divsChild>
                        <w:div w:id="245311393">
                          <w:marLeft w:val="0"/>
                          <w:marRight w:val="0"/>
                          <w:marTop w:val="0"/>
                          <w:marBottom w:val="0"/>
                          <w:divBdr>
                            <w:top w:val="none" w:sz="0" w:space="0" w:color="auto"/>
                            <w:left w:val="none" w:sz="0" w:space="0" w:color="auto"/>
                            <w:bottom w:val="none" w:sz="0" w:space="0" w:color="auto"/>
                            <w:right w:val="none" w:sz="0" w:space="0" w:color="auto"/>
                          </w:divBdr>
                          <w:divsChild>
                            <w:div w:id="1178958053">
                              <w:marLeft w:val="0"/>
                              <w:marRight w:val="0"/>
                              <w:marTop w:val="0"/>
                              <w:marBottom w:val="0"/>
                              <w:divBdr>
                                <w:top w:val="none" w:sz="0" w:space="0" w:color="auto"/>
                                <w:left w:val="none" w:sz="0" w:space="0" w:color="auto"/>
                                <w:bottom w:val="none" w:sz="0" w:space="0" w:color="auto"/>
                                <w:right w:val="none" w:sz="0" w:space="0" w:color="auto"/>
                              </w:divBdr>
                              <w:divsChild>
                                <w:div w:id="178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2369">
          <w:marLeft w:val="0"/>
          <w:marRight w:val="0"/>
          <w:marTop w:val="0"/>
          <w:marBottom w:val="0"/>
          <w:divBdr>
            <w:top w:val="none" w:sz="0" w:space="0" w:color="auto"/>
            <w:left w:val="none" w:sz="0" w:space="0" w:color="auto"/>
            <w:bottom w:val="none" w:sz="0" w:space="0" w:color="auto"/>
            <w:right w:val="none" w:sz="0" w:space="0" w:color="auto"/>
          </w:divBdr>
          <w:divsChild>
            <w:div w:id="586234848">
              <w:marLeft w:val="-413"/>
              <w:marRight w:val="-413"/>
              <w:marTop w:val="0"/>
              <w:marBottom w:val="0"/>
              <w:divBdr>
                <w:top w:val="none" w:sz="0" w:space="0" w:color="auto"/>
                <w:left w:val="none" w:sz="0" w:space="0" w:color="auto"/>
                <w:bottom w:val="none" w:sz="0" w:space="0" w:color="auto"/>
                <w:right w:val="none" w:sz="0" w:space="0" w:color="auto"/>
              </w:divBdr>
              <w:divsChild>
                <w:div w:id="922758810">
                  <w:marLeft w:val="0"/>
                  <w:marRight w:val="0"/>
                  <w:marTop w:val="0"/>
                  <w:marBottom w:val="0"/>
                  <w:divBdr>
                    <w:top w:val="none" w:sz="0" w:space="0" w:color="auto"/>
                    <w:left w:val="none" w:sz="0" w:space="0" w:color="auto"/>
                    <w:bottom w:val="none" w:sz="0" w:space="0" w:color="auto"/>
                    <w:right w:val="none" w:sz="0" w:space="0" w:color="auto"/>
                  </w:divBdr>
                  <w:divsChild>
                    <w:div w:id="354842580">
                      <w:marLeft w:val="0"/>
                      <w:marRight w:val="0"/>
                      <w:marTop w:val="0"/>
                      <w:marBottom w:val="0"/>
                      <w:divBdr>
                        <w:top w:val="none" w:sz="0" w:space="0" w:color="auto"/>
                        <w:left w:val="none" w:sz="0" w:space="0" w:color="auto"/>
                        <w:bottom w:val="none" w:sz="0" w:space="0" w:color="auto"/>
                        <w:right w:val="none" w:sz="0" w:space="0" w:color="auto"/>
                      </w:divBdr>
                      <w:divsChild>
                        <w:div w:id="1681857041">
                          <w:marLeft w:val="0"/>
                          <w:marRight w:val="0"/>
                          <w:marTop w:val="0"/>
                          <w:marBottom w:val="0"/>
                          <w:divBdr>
                            <w:top w:val="none" w:sz="0" w:space="0" w:color="auto"/>
                            <w:left w:val="none" w:sz="0" w:space="0" w:color="auto"/>
                            <w:bottom w:val="none" w:sz="0" w:space="0" w:color="auto"/>
                            <w:right w:val="none" w:sz="0" w:space="0" w:color="auto"/>
                          </w:divBdr>
                          <w:divsChild>
                            <w:div w:id="1257790830">
                              <w:marLeft w:val="0"/>
                              <w:marRight w:val="0"/>
                              <w:marTop w:val="0"/>
                              <w:marBottom w:val="0"/>
                              <w:divBdr>
                                <w:top w:val="none" w:sz="0" w:space="0" w:color="auto"/>
                                <w:left w:val="none" w:sz="0" w:space="0" w:color="auto"/>
                                <w:bottom w:val="none" w:sz="0" w:space="0" w:color="auto"/>
                                <w:right w:val="none" w:sz="0" w:space="0" w:color="auto"/>
                              </w:divBdr>
                              <w:divsChild>
                                <w:div w:id="1346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3833">
                  <w:marLeft w:val="0"/>
                  <w:marRight w:val="0"/>
                  <w:marTop w:val="0"/>
                  <w:marBottom w:val="0"/>
                  <w:divBdr>
                    <w:top w:val="none" w:sz="0" w:space="0" w:color="auto"/>
                    <w:left w:val="none" w:sz="0" w:space="0" w:color="auto"/>
                    <w:bottom w:val="none" w:sz="0" w:space="0" w:color="auto"/>
                    <w:right w:val="none" w:sz="0" w:space="0" w:color="auto"/>
                  </w:divBdr>
                  <w:divsChild>
                    <w:div w:id="1772970915">
                      <w:marLeft w:val="0"/>
                      <w:marRight w:val="0"/>
                      <w:marTop w:val="0"/>
                      <w:marBottom w:val="0"/>
                      <w:divBdr>
                        <w:top w:val="none" w:sz="0" w:space="0" w:color="auto"/>
                        <w:left w:val="none" w:sz="0" w:space="0" w:color="auto"/>
                        <w:bottom w:val="none" w:sz="0" w:space="0" w:color="auto"/>
                        <w:right w:val="none" w:sz="0" w:space="0" w:color="auto"/>
                      </w:divBdr>
                      <w:divsChild>
                        <w:div w:id="1820488398">
                          <w:marLeft w:val="0"/>
                          <w:marRight w:val="0"/>
                          <w:marTop w:val="0"/>
                          <w:marBottom w:val="0"/>
                          <w:divBdr>
                            <w:top w:val="none" w:sz="0" w:space="0" w:color="auto"/>
                            <w:left w:val="none" w:sz="0" w:space="0" w:color="auto"/>
                            <w:bottom w:val="none" w:sz="0" w:space="0" w:color="auto"/>
                            <w:right w:val="none" w:sz="0" w:space="0" w:color="auto"/>
                          </w:divBdr>
                          <w:divsChild>
                            <w:div w:id="26807159">
                              <w:marLeft w:val="0"/>
                              <w:marRight w:val="0"/>
                              <w:marTop w:val="0"/>
                              <w:marBottom w:val="0"/>
                              <w:divBdr>
                                <w:top w:val="none" w:sz="0" w:space="0" w:color="auto"/>
                                <w:left w:val="none" w:sz="0" w:space="0" w:color="auto"/>
                                <w:bottom w:val="none" w:sz="0" w:space="0" w:color="auto"/>
                                <w:right w:val="none" w:sz="0" w:space="0" w:color="auto"/>
                              </w:divBdr>
                              <w:divsChild>
                                <w:div w:id="18814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6842">
                  <w:marLeft w:val="0"/>
                  <w:marRight w:val="0"/>
                  <w:marTop w:val="0"/>
                  <w:marBottom w:val="0"/>
                  <w:divBdr>
                    <w:top w:val="none" w:sz="0" w:space="0" w:color="auto"/>
                    <w:left w:val="none" w:sz="0" w:space="0" w:color="auto"/>
                    <w:bottom w:val="none" w:sz="0" w:space="0" w:color="auto"/>
                    <w:right w:val="none" w:sz="0" w:space="0" w:color="auto"/>
                  </w:divBdr>
                  <w:divsChild>
                    <w:div w:id="685641285">
                      <w:marLeft w:val="0"/>
                      <w:marRight w:val="0"/>
                      <w:marTop w:val="0"/>
                      <w:marBottom w:val="0"/>
                      <w:divBdr>
                        <w:top w:val="none" w:sz="0" w:space="0" w:color="auto"/>
                        <w:left w:val="none" w:sz="0" w:space="0" w:color="auto"/>
                        <w:bottom w:val="none" w:sz="0" w:space="0" w:color="auto"/>
                        <w:right w:val="none" w:sz="0" w:space="0" w:color="auto"/>
                      </w:divBdr>
                      <w:divsChild>
                        <w:div w:id="1390030906">
                          <w:marLeft w:val="0"/>
                          <w:marRight w:val="0"/>
                          <w:marTop w:val="0"/>
                          <w:marBottom w:val="0"/>
                          <w:divBdr>
                            <w:top w:val="none" w:sz="0" w:space="0" w:color="auto"/>
                            <w:left w:val="none" w:sz="0" w:space="0" w:color="auto"/>
                            <w:bottom w:val="none" w:sz="0" w:space="0" w:color="auto"/>
                            <w:right w:val="none" w:sz="0" w:space="0" w:color="auto"/>
                          </w:divBdr>
                          <w:divsChild>
                            <w:div w:id="673722710">
                              <w:marLeft w:val="0"/>
                              <w:marRight w:val="0"/>
                              <w:marTop w:val="0"/>
                              <w:marBottom w:val="0"/>
                              <w:divBdr>
                                <w:top w:val="none" w:sz="0" w:space="0" w:color="auto"/>
                                <w:left w:val="none" w:sz="0" w:space="0" w:color="auto"/>
                                <w:bottom w:val="none" w:sz="0" w:space="0" w:color="auto"/>
                                <w:right w:val="none" w:sz="0" w:space="0" w:color="auto"/>
                              </w:divBdr>
                              <w:divsChild>
                                <w:div w:id="2021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568794">
      <w:bodyDiv w:val="1"/>
      <w:marLeft w:val="0"/>
      <w:marRight w:val="0"/>
      <w:marTop w:val="0"/>
      <w:marBottom w:val="0"/>
      <w:divBdr>
        <w:top w:val="none" w:sz="0" w:space="0" w:color="auto"/>
        <w:left w:val="none" w:sz="0" w:space="0" w:color="auto"/>
        <w:bottom w:val="none" w:sz="0" w:space="0" w:color="auto"/>
        <w:right w:val="none" w:sz="0" w:space="0" w:color="auto"/>
      </w:divBdr>
    </w:div>
    <w:div w:id="1450392870">
      <w:bodyDiv w:val="1"/>
      <w:marLeft w:val="0"/>
      <w:marRight w:val="0"/>
      <w:marTop w:val="0"/>
      <w:marBottom w:val="0"/>
      <w:divBdr>
        <w:top w:val="none" w:sz="0" w:space="0" w:color="auto"/>
        <w:left w:val="none" w:sz="0" w:space="0" w:color="auto"/>
        <w:bottom w:val="none" w:sz="0" w:space="0" w:color="auto"/>
        <w:right w:val="none" w:sz="0" w:space="0" w:color="auto"/>
      </w:divBdr>
    </w:div>
    <w:div w:id="1464036850">
      <w:bodyDiv w:val="1"/>
      <w:marLeft w:val="0"/>
      <w:marRight w:val="0"/>
      <w:marTop w:val="0"/>
      <w:marBottom w:val="0"/>
      <w:divBdr>
        <w:top w:val="none" w:sz="0" w:space="0" w:color="auto"/>
        <w:left w:val="none" w:sz="0" w:space="0" w:color="auto"/>
        <w:bottom w:val="none" w:sz="0" w:space="0" w:color="auto"/>
        <w:right w:val="none" w:sz="0" w:space="0" w:color="auto"/>
      </w:divBdr>
    </w:div>
    <w:div w:id="1518229635">
      <w:bodyDiv w:val="1"/>
      <w:marLeft w:val="0"/>
      <w:marRight w:val="0"/>
      <w:marTop w:val="0"/>
      <w:marBottom w:val="0"/>
      <w:divBdr>
        <w:top w:val="none" w:sz="0" w:space="0" w:color="auto"/>
        <w:left w:val="none" w:sz="0" w:space="0" w:color="auto"/>
        <w:bottom w:val="none" w:sz="0" w:space="0" w:color="auto"/>
        <w:right w:val="none" w:sz="0" w:space="0" w:color="auto"/>
      </w:divBdr>
    </w:div>
    <w:div w:id="1526093809">
      <w:bodyDiv w:val="1"/>
      <w:marLeft w:val="0"/>
      <w:marRight w:val="0"/>
      <w:marTop w:val="0"/>
      <w:marBottom w:val="0"/>
      <w:divBdr>
        <w:top w:val="none" w:sz="0" w:space="0" w:color="auto"/>
        <w:left w:val="none" w:sz="0" w:space="0" w:color="auto"/>
        <w:bottom w:val="none" w:sz="0" w:space="0" w:color="auto"/>
        <w:right w:val="none" w:sz="0" w:space="0" w:color="auto"/>
      </w:divBdr>
    </w:div>
    <w:div w:id="1537737334">
      <w:bodyDiv w:val="1"/>
      <w:marLeft w:val="0"/>
      <w:marRight w:val="0"/>
      <w:marTop w:val="0"/>
      <w:marBottom w:val="0"/>
      <w:divBdr>
        <w:top w:val="none" w:sz="0" w:space="0" w:color="auto"/>
        <w:left w:val="none" w:sz="0" w:space="0" w:color="auto"/>
        <w:bottom w:val="none" w:sz="0" w:space="0" w:color="auto"/>
        <w:right w:val="none" w:sz="0" w:space="0" w:color="auto"/>
      </w:divBdr>
    </w:div>
    <w:div w:id="1537817740">
      <w:bodyDiv w:val="1"/>
      <w:marLeft w:val="0"/>
      <w:marRight w:val="0"/>
      <w:marTop w:val="0"/>
      <w:marBottom w:val="0"/>
      <w:divBdr>
        <w:top w:val="none" w:sz="0" w:space="0" w:color="auto"/>
        <w:left w:val="none" w:sz="0" w:space="0" w:color="auto"/>
        <w:bottom w:val="none" w:sz="0" w:space="0" w:color="auto"/>
        <w:right w:val="none" w:sz="0" w:space="0" w:color="auto"/>
      </w:divBdr>
    </w:div>
    <w:div w:id="1573346108">
      <w:bodyDiv w:val="1"/>
      <w:marLeft w:val="0"/>
      <w:marRight w:val="0"/>
      <w:marTop w:val="0"/>
      <w:marBottom w:val="0"/>
      <w:divBdr>
        <w:top w:val="none" w:sz="0" w:space="0" w:color="auto"/>
        <w:left w:val="none" w:sz="0" w:space="0" w:color="auto"/>
        <w:bottom w:val="none" w:sz="0" w:space="0" w:color="auto"/>
        <w:right w:val="none" w:sz="0" w:space="0" w:color="auto"/>
      </w:divBdr>
    </w:div>
    <w:div w:id="1632245845">
      <w:bodyDiv w:val="1"/>
      <w:marLeft w:val="0"/>
      <w:marRight w:val="0"/>
      <w:marTop w:val="0"/>
      <w:marBottom w:val="0"/>
      <w:divBdr>
        <w:top w:val="none" w:sz="0" w:space="0" w:color="auto"/>
        <w:left w:val="none" w:sz="0" w:space="0" w:color="auto"/>
        <w:bottom w:val="none" w:sz="0" w:space="0" w:color="auto"/>
        <w:right w:val="none" w:sz="0" w:space="0" w:color="auto"/>
      </w:divBdr>
    </w:div>
    <w:div w:id="1636989130">
      <w:bodyDiv w:val="1"/>
      <w:marLeft w:val="0"/>
      <w:marRight w:val="0"/>
      <w:marTop w:val="0"/>
      <w:marBottom w:val="0"/>
      <w:divBdr>
        <w:top w:val="none" w:sz="0" w:space="0" w:color="auto"/>
        <w:left w:val="none" w:sz="0" w:space="0" w:color="auto"/>
        <w:bottom w:val="none" w:sz="0" w:space="0" w:color="auto"/>
        <w:right w:val="none" w:sz="0" w:space="0" w:color="auto"/>
      </w:divBdr>
    </w:div>
    <w:div w:id="1679769826">
      <w:bodyDiv w:val="1"/>
      <w:marLeft w:val="0"/>
      <w:marRight w:val="0"/>
      <w:marTop w:val="0"/>
      <w:marBottom w:val="0"/>
      <w:divBdr>
        <w:top w:val="none" w:sz="0" w:space="0" w:color="auto"/>
        <w:left w:val="none" w:sz="0" w:space="0" w:color="auto"/>
        <w:bottom w:val="none" w:sz="0" w:space="0" w:color="auto"/>
        <w:right w:val="none" w:sz="0" w:space="0" w:color="auto"/>
      </w:divBdr>
    </w:div>
    <w:div w:id="1682928341">
      <w:bodyDiv w:val="1"/>
      <w:marLeft w:val="0"/>
      <w:marRight w:val="0"/>
      <w:marTop w:val="0"/>
      <w:marBottom w:val="0"/>
      <w:divBdr>
        <w:top w:val="none" w:sz="0" w:space="0" w:color="auto"/>
        <w:left w:val="none" w:sz="0" w:space="0" w:color="auto"/>
        <w:bottom w:val="none" w:sz="0" w:space="0" w:color="auto"/>
        <w:right w:val="none" w:sz="0" w:space="0" w:color="auto"/>
      </w:divBdr>
    </w:div>
    <w:div w:id="1778214938">
      <w:bodyDiv w:val="1"/>
      <w:marLeft w:val="0"/>
      <w:marRight w:val="0"/>
      <w:marTop w:val="0"/>
      <w:marBottom w:val="0"/>
      <w:divBdr>
        <w:top w:val="none" w:sz="0" w:space="0" w:color="auto"/>
        <w:left w:val="none" w:sz="0" w:space="0" w:color="auto"/>
        <w:bottom w:val="none" w:sz="0" w:space="0" w:color="auto"/>
        <w:right w:val="none" w:sz="0" w:space="0" w:color="auto"/>
      </w:divBdr>
    </w:div>
    <w:div w:id="1811484076">
      <w:bodyDiv w:val="1"/>
      <w:marLeft w:val="0"/>
      <w:marRight w:val="0"/>
      <w:marTop w:val="0"/>
      <w:marBottom w:val="0"/>
      <w:divBdr>
        <w:top w:val="none" w:sz="0" w:space="0" w:color="auto"/>
        <w:left w:val="none" w:sz="0" w:space="0" w:color="auto"/>
        <w:bottom w:val="none" w:sz="0" w:space="0" w:color="auto"/>
        <w:right w:val="none" w:sz="0" w:space="0" w:color="auto"/>
      </w:divBdr>
    </w:div>
    <w:div w:id="1814561549">
      <w:bodyDiv w:val="1"/>
      <w:marLeft w:val="0"/>
      <w:marRight w:val="0"/>
      <w:marTop w:val="0"/>
      <w:marBottom w:val="0"/>
      <w:divBdr>
        <w:top w:val="none" w:sz="0" w:space="0" w:color="auto"/>
        <w:left w:val="none" w:sz="0" w:space="0" w:color="auto"/>
        <w:bottom w:val="none" w:sz="0" w:space="0" w:color="auto"/>
        <w:right w:val="none" w:sz="0" w:space="0" w:color="auto"/>
      </w:divBdr>
    </w:div>
    <w:div w:id="1818455579">
      <w:bodyDiv w:val="1"/>
      <w:marLeft w:val="0"/>
      <w:marRight w:val="0"/>
      <w:marTop w:val="0"/>
      <w:marBottom w:val="0"/>
      <w:divBdr>
        <w:top w:val="none" w:sz="0" w:space="0" w:color="auto"/>
        <w:left w:val="none" w:sz="0" w:space="0" w:color="auto"/>
        <w:bottom w:val="none" w:sz="0" w:space="0" w:color="auto"/>
        <w:right w:val="none" w:sz="0" w:space="0" w:color="auto"/>
      </w:divBdr>
    </w:div>
    <w:div w:id="1874919940">
      <w:bodyDiv w:val="1"/>
      <w:marLeft w:val="0"/>
      <w:marRight w:val="0"/>
      <w:marTop w:val="0"/>
      <w:marBottom w:val="0"/>
      <w:divBdr>
        <w:top w:val="none" w:sz="0" w:space="0" w:color="auto"/>
        <w:left w:val="none" w:sz="0" w:space="0" w:color="auto"/>
        <w:bottom w:val="none" w:sz="0" w:space="0" w:color="auto"/>
        <w:right w:val="none" w:sz="0" w:space="0" w:color="auto"/>
      </w:divBdr>
    </w:div>
    <w:div w:id="1952398864">
      <w:bodyDiv w:val="1"/>
      <w:marLeft w:val="0"/>
      <w:marRight w:val="0"/>
      <w:marTop w:val="0"/>
      <w:marBottom w:val="0"/>
      <w:divBdr>
        <w:top w:val="none" w:sz="0" w:space="0" w:color="auto"/>
        <w:left w:val="none" w:sz="0" w:space="0" w:color="auto"/>
        <w:bottom w:val="none" w:sz="0" w:space="0" w:color="auto"/>
        <w:right w:val="none" w:sz="0" w:space="0" w:color="auto"/>
      </w:divBdr>
    </w:div>
    <w:div w:id="1954939803">
      <w:bodyDiv w:val="1"/>
      <w:marLeft w:val="0"/>
      <w:marRight w:val="0"/>
      <w:marTop w:val="0"/>
      <w:marBottom w:val="0"/>
      <w:divBdr>
        <w:top w:val="none" w:sz="0" w:space="0" w:color="auto"/>
        <w:left w:val="none" w:sz="0" w:space="0" w:color="auto"/>
        <w:bottom w:val="none" w:sz="0" w:space="0" w:color="auto"/>
        <w:right w:val="none" w:sz="0" w:space="0" w:color="auto"/>
      </w:divBdr>
    </w:div>
    <w:div w:id="1970698444">
      <w:bodyDiv w:val="1"/>
      <w:marLeft w:val="0"/>
      <w:marRight w:val="0"/>
      <w:marTop w:val="0"/>
      <w:marBottom w:val="0"/>
      <w:divBdr>
        <w:top w:val="none" w:sz="0" w:space="0" w:color="auto"/>
        <w:left w:val="none" w:sz="0" w:space="0" w:color="auto"/>
        <w:bottom w:val="none" w:sz="0" w:space="0" w:color="auto"/>
        <w:right w:val="none" w:sz="0" w:space="0" w:color="auto"/>
      </w:divBdr>
    </w:div>
    <w:div w:id="2109081472">
      <w:bodyDiv w:val="1"/>
      <w:marLeft w:val="0"/>
      <w:marRight w:val="0"/>
      <w:marTop w:val="0"/>
      <w:marBottom w:val="0"/>
      <w:divBdr>
        <w:top w:val="none" w:sz="0" w:space="0" w:color="auto"/>
        <w:left w:val="none" w:sz="0" w:space="0" w:color="auto"/>
        <w:bottom w:val="none" w:sz="0" w:space="0" w:color="auto"/>
        <w:right w:val="none" w:sz="0" w:space="0" w:color="auto"/>
      </w:divBdr>
    </w:div>
    <w:div w:id="2141724483">
      <w:bodyDiv w:val="1"/>
      <w:marLeft w:val="0"/>
      <w:marRight w:val="0"/>
      <w:marTop w:val="0"/>
      <w:marBottom w:val="0"/>
      <w:divBdr>
        <w:top w:val="none" w:sz="0" w:space="0" w:color="auto"/>
        <w:left w:val="none" w:sz="0" w:space="0" w:color="auto"/>
        <w:bottom w:val="none" w:sz="0" w:space="0" w:color="auto"/>
        <w:right w:val="none" w:sz="0" w:space="0" w:color="auto"/>
      </w:divBdr>
    </w:div>
    <w:div w:id="214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2a evaluación vinculante por ámbito</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stacked"/>
        <c:varyColors val="0"/>
        <c:ser>
          <c:idx val="1"/>
          <c:order val="0"/>
          <c:tx>
            <c:strRef>
              <c:f>Hoja1!$C$1</c:f>
              <c:strCache>
                <c:ptCount val="1"/>
                <c:pt idx="0">
                  <c:v>Cumplimiento total (100 puntos)</c:v>
                </c:pt>
              </c:strCache>
            </c:strRef>
          </c:tx>
          <c:spPr>
            <a:solidFill>
              <a:srgbClr val="00B05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77CC-47EF-9DDE-C8662631C3FA}"/>
                </c:ext>
              </c:extLst>
            </c:dLbl>
            <c:dLbl>
              <c:idx val="4"/>
              <c:delete val="1"/>
              <c:extLst>
                <c:ext xmlns:c15="http://schemas.microsoft.com/office/drawing/2012/chart" uri="{CE6537A1-D6FC-4f65-9D91-7224C49458BB}"/>
                <c:ext xmlns:c16="http://schemas.microsoft.com/office/drawing/2014/chart" uri="{C3380CC4-5D6E-409C-BE32-E72D297353CC}">
                  <c16:uniqueId val="{00000001-77CC-47EF-9DDE-C8662631C3FA}"/>
                </c:ext>
              </c:extLst>
            </c:dLbl>
            <c:dLbl>
              <c:idx val="5"/>
              <c:delete val="1"/>
              <c:extLst>
                <c:ext xmlns:c15="http://schemas.microsoft.com/office/drawing/2012/chart" uri="{CE6537A1-D6FC-4f65-9D91-7224C49458BB}"/>
                <c:ext xmlns:c16="http://schemas.microsoft.com/office/drawing/2014/chart" uri="{C3380CC4-5D6E-409C-BE32-E72D297353CC}">
                  <c16:uniqueId val="{00000000-77CC-47EF-9DDE-C8662631C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Hoja1!$C$2:$C$8</c:f>
              <c:numCache>
                <c:formatCode>General</c:formatCode>
                <c:ptCount val="7"/>
                <c:pt idx="0">
                  <c:v>4</c:v>
                </c:pt>
                <c:pt idx="1">
                  <c:v>1</c:v>
                </c:pt>
                <c:pt idx="2">
                  <c:v>2</c:v>
                </c:pt>
                <c:pt idx="3">
                  <c:v>0</c:v>
                </c:pt>
                <c:pt idx="4">
                  <c:v>0</c:v>
                </c:pt>
                <c:pt idx="5">
                  <c:v>0</c:v>
                </c:pt>
                <c:pt idx="6">
                  <c:v>7</c:v>
                </c:pt>
              </c:numCache>
            </c:numRef>
          </c:val>
          <c:extLst>
            <c:ext xmlns:c16="http://schemas.microsoft.com/office/drawing/2014/chart" uri="{C3380CC4-5D6E-409C-BE32-E72D297353CC}">
              <c16:uniqueId val="{00000000-5292-4042-B63E-00DFC506ED28}"/>
            </c:ext>
          </c:extLst>
        </c:ser>
        <c:ser>
          <c:idx val="2"/>
          <c:order val="1"/>
          <c:tx>
            <c:strRef>
              <c:f>Hoja1!$D$1</c:f>
              <c:strCache>
                <c:ptCount val="1"/>
                <c:pt idx="0">
                  <c:v>Cumplimiento parcial (60 a 99.99 puntos)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Hoja1!$D$2:$D$8</c:f>
              <c:numCache>
                <c:formatCode>General</c:formatCode>
                <c:ptCount val="7"/>
                <c:pt idx="0">
                  <c:v>4</c:v>
                </c:pt>
                <c:pt idx="1">
                  <c:v>4</c:v>
                </c:pt>
                <c:pt idx="2">
                  <c:v>14</c:v>
                </c:pt>
                <c:pt idx="3">
                  <c:v>1</c:v>
                </c:pt>
                <c:pt idx="4">
                  <c:v>1</c:v>
                </c:pt>
                <c:pt idx="5">
                  <c:v>1</c:v>
                </c:pt>
                <c:pt idx="6">
                  <c:v>25</c:v>
                </c:pt>
              </c:numCache>
            </c:numRef>
          </c:val>
          <c:extLst>
            <c:ext xmlns:c16="http://schemas.microsoft.com/office/drawing/2014/chart" uri="{C3380CC4-5D6E-409C-BE32-E72D297353CC}">
              <c16:uniqueId val="{00000001-5292-4042-B63E-00DFC506ED28}"/>
            </c:ext>
          </c:extLst>
        </c:ser>
        <c:ser>
          <c:idx val="3"/>
          <c:order val="2"/>
          <c:tx>
            <c:strRef>
              <c:f>Hoja1!$E$1</c:f>
              <c:strCache>
                <c:ptCount val="1"/>
                <c:pt idx="0">
                  <c:v>Incumplimiento parcial (1 a 59.99 puntos)</c:v>
                </c:pt>
              </c:strCache>
            </c:strRef>
          </c:tx>
          <c:spPr>
            <a:solidFill>
              <a:schemeClr val="accent4"/>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CC-47EF-9DDE-C8662631C3F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CC-47EF-9DDE-C8662631C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Hoja1!$E$2:$E$8</c:f>
              <c:numCache>
                <c:formatCode>General</c:formatCode>
                <c:ptCount val="7"/>
                <c:pt idx="0">
                  <c:v>0</c:v>
                </c:pt>
                <c:pt idx="1">
                  <c:v>3</c:v>
                </c:pt>
                <c:pt idx="2">
                  <c:v>0</c:v>
                </c:pt>
                <c:pt idx="3">
                  <c:v>0</c:v>
                </c:pt>
                <c:pt idx="4">
                  <c:v>0</c:v>
                </c:pt>
                <c:pt idx="5">
                  <c:v>0</c:v>
                </c:pt>
                <c:pt idx="6">
                  <c:v>3</c:v>
                </c:pt>
              </c:numCache>
            </c:numRef>
          </c:val>
          <c:extLst>
            <c:ext xmlns:c16="http://schemas.microsoft.com/office/drawing/2014/chart" uri="{C3380CC4-5D6E-409C-BE32-E72D297353CC}">
              <c16:uniqueId val="{00000002-5292-4042-B63E-00DFC506ED28}"/>
            </c:ext>
          </c:extLst>
        </c:ser>
        <c:ser>
          <c:idx val="4"/>
          <c:order val="3"/>
          <c:tx>
            <c:strRef>
              <c:f>Hoja1!$F$1</c:f>
              <c:strCache>
                <c:ptCount val="1"/>
                <c:pt idx="0">
                  <c:v>Incumplimiento total (0 puntos) </c:v>
                </c:pt>
              </c:strCache>
            </c:strRef>
          </c:tx>
          <c:spPr>
            <a:solidFill>
              <a:srgbClr val="FF0000"/>
            </a:solidFill>
            <a:ln>
              <a:noFill/>
            </a:ln>
            <a:effectLst/>
          </c:spPr>
          <c:invertIfNegative val="0"/>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Hoja1!$F$2:$F$8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3-5292-4042-B63E-00DFC506ED28}"/>
            </c:ext>
          </c:extLst>
        </c:ser>
        <c:dLbls>
          <c:showLegendKey val="0"/>
          <c:showVal val="0"/>
          <c:showCatName val="0"/>
          <c:showSerName val="0"/>
          <c:showPercent val="0"/>
          <c:showBubbleSize val="0"/>
        </c:dLbls>
        <c:gapWidth val="150"/>
        <c:overlap val="100"/>
        <c:axId val="635180495"/>
        <c:axId val="671965999"/>
      </c:barChart>
      <c:catAx>
        <c:axId val="6351804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71965999"/>
        <c:crosses val="autoZero"/>
        <c:auto val="1"/>
        <c:lblAlgn val="ctr"/>
        <c:lblOffset val="100"/>
        <c:noMultiLvlLbl val="0"/>
      </c:catAx>
      <c:valAx>
        <c:axId val="671965999"/>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5180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7BE3-5468-B449-B1DF-B6118AEC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Antonio Trapero</dc:creator>
  <cp:keywords/>
  <dc:description/>
  <cp:lastModifiedBy>Aldo Antonio Trapero Maldonado</cp:lastModifiedBy>
  <cp:revision>9</cp:revision>
  <cp:lastPrinted>2019-10-23T21:55:00Z</cp:lastPrinted>
  <dcterms:created xsi:type="dcterms:W3CDTF">2019-10-24T00:19:00Z</dcterms:created>
  <dcterms:modified xsi:type="dcterms:W3CDTF">2019-10-30T01:33:00Z</dcterms:modified>
</cp:coreProperties>
</file>